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4C3B5E28"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0720F3">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0720F3">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0720F3">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0720F3">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0720F3">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0720F3">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0720F3">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0720F3">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425"/>
        <w:gridCol w:w="421"/>
        <w:gridCol w:w="1422"/>
        <w:gridCol w:w="542"/>
        <w:gridCol w:w="378"/>
        <w:gridCol w:w="3616"/>
      </w:tblGrid>
      <w:tr w:rsidR="00DA798E" w:rsidRPr="00DA798E" w14:paraId="16C8925B" w14:textId="77777777" w:rsidTr="000720F3">
        <w:tc>
          <w:tcPr>
            <w:tcW w:w="2973" w:type="dxa"/>
            <w:gridSpan w:val="5"/>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2"/>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0720F3">
        <w:tc>
          <w:tcPr>
            <w:tcW w:w="2973" w:type="dxa"/>
            <w:gridSpan w:val="5"/>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gridSpan w:val="2"/>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0720F3">
        <w:trPr>
          <w:trHeight w:val="3224"/>
        </w:trPr>
        <w:tc>
          <w:tcPr>
            <w:tcW w:w="8931" w:type="dxa"/>
            <w:gridSpan w:val="9"/>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61753239" w14:textId="0DE9957B" w:rsidR="00020D0B" w:rsidRDefault="001A5D81" w:rsidP="00020D0B">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537ACB" w:rsidRPr="00062DC2">
              <w:rPr>
                <w:rFonts w:ascii="Times New Roman" w:hAnsi="Times New Roman" w:cs="Times New Roman"/>
                <w:sz w:val="24"/>
                <w:szCs w:val="24"/>
              </w:rPr>
              <w:t>2021.</w:t>
            </w:r>
            <w:r w:rsidR="00537ACB">
              <w:rPr>
                <w:rFonts w:ascii="Times New Roman" w:hAnsi="Times New Roman" w:cs="Times New Roman"/>
                <w:sz w:val="24"/>
                <w:szCs w:val="24"/>
              </w:rPr>
              <w:t xml:space="preserve"> gada 27. oktobra</w:t>
            </w:r>
            <w:r w:rsidR="00537ACB"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D873AE">
              <w:rPr>
                <w:rFonts w:ascii="Times New Roman" w:hAnsi="Times New Roman" w:cs="Times New Roman"/>
                <w:b/>
                <w:bCs/>
                <w:sz w:val="24"/>
                <w:szCs w:val="24"/>
              </w:rPr>
              <w:t>1</w:t>
            </w:r>
            <w:r w:rsidR="00020D0B">
              <w:rPr>
                <w:rFonts w:ascii="Times New Roman" w:hAnsi="Times New Roman" w:cs="Times New Roman"/>
                <w:b/>
                <w:bCs/>
                <w:sz w:val="24"/>
                <w:szCs w:val="24"/>
              </w:rPr>
              <w:t>2</w:t>
            </w:r>
            <w:r w:rsidR="00062DC2" w:rsidRPr="00D83D95">
              <w:rPr>
                <w:rFonts w:ascii="Times New Roman" w:hAnsi="Times New Roman" w:cs="Times New Roman"/>
                <w:b/>
                <w:bCs/>
                <w:sz w:val="24"/>
                <w:szCs w:val="24"/>
              </w:rPr>
              <w:t>.</w:t>
            </w:r>
            <w:r w:rsidR="000720F3">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0E5E94B3" w14:textId="77777777" w:rsidR="00DC5EEB" w:rsidRPr="00020D0B" w:rsidRDefault="00DC5EEB" w:rsidP="00020D0B">
            <w:pPr>
              <w:spacing w:after="0" w:line="240" w:lineRule="auto"/>
              <w:ind w:right="-113" w:firstLine="603"/>
              <w:jc w:val="both"/>
              <w:rPr>
                <w:rFonts w:ascii="Times New Roman" w:hAnsi="Times New Roman" w:cs="Times New Roman"/>
                <w:b/>
                <w:bCs/>
                <w:sz w:val="24"/>
                <w:szCs w:val="24"/>
              </w:rPr>
            </w:pPr>
          </w:p>
          <w:p w14:paraId="6E64321D" w14:textId="77777777" w:rsidR="00020D0B" w:rsidRDefault="00020D0B" w:rsidP="00020D0B">
            <w:pPr>
              <w:suppressAutoHyphens/>
              <w:spacing w:after="0" w:line="240" w:lineRule="auto"/>
              <w:jc w:val="both"/>
              <w:rPr>
                <w:rFonts w:ascii="Times New Roman" w:hAnsi="Times New Roman" w:cs="Times New Roman"/>
                <w:sz w:val="24"/>
                <w:szCs w:val="24"/>
              </w:rPr>
            </w:pPr>
            <w:r w:rsidRPr="00020D0B">
              <w:rPr>
                <w:rFonts w:ascii="Times New Roman" w:hAnsi="Times New Roman" w:cs="Times New Roman"/>
                <w:sz w:val="24"/>
                <w:szCs w:val="24"/>
              </w:rPr>
              <w:t>“</w:t>
            </w:r>
            <w:r w:rsidRPr="002211F9">
              <w:rPr>
                <w:rFonts w:ascii="Times New Roman" w:hAnsi="Times New Roman" w:cs="Times New Roman"/>
                <w:i/>
                <w:iCs/>
                <w:sz w:val="24"/>
                <w:szCs w:val="24"/>
              </w:rPr>
              <w:t>nodokļu maksātājiem, kuriem n</w:t>
            </w:r>
            <w:r w:rsidRPr="002211F9">
              <w:rPr>
                <w:rFonts w:ascii="Times New Roman" w:hAnsi="Times New Roman" w:cs="Times New Roman"/>
                <w:i/>
                <w:iCs/>
                <w:sz w:val="24"/>
                <w:szCs w:val="24"/>
                <w:shd w:val="clear" w:color="auto" w:fill="FFFFFF"/>
              </w:rPr>
              <w:t xml:space="preserve">ekustamā īpašuma valsts kadastra informācijas sistēmā </w:t>
            </w:r>
            <w:r w:rsidRPr="002211F9">
              <w:rPr>
                <w:rFonts w:ascii="Times New Roman" w:hAnsi="Times New Roman" w:cs="Times New Roman"/>
                <w:i/>
                <w:iCs/>
                <w:sz w:val="24"/>
                <w:szCs w:val="24"/>
              </w:rPr>
              <w:t>no 2023. gada 1. janvāra</w:t>
            </w:r>
            <w:r w:rsidRPr="002211F9">
              <w:rPr>
                <w:rFonts w:ascii="Times New Roman" w:hAnsi="Times New Roman" w:cs="Times New Roman"/>
                <w:i/>
                <w:iCs/>
                <w:sz w:val="24"/>
                <w:szCs w:val="24"/>
                <w:shd w:val="clear" w:color="auto" w:fill="FFFFFF"/>
              </w:rPr>
              <w:t xml:space="preserve"> ir reģistrēts </w:t>
            </w:r>
            <w:r w:rsidRPr="002211F9">
              <w:rPr>
                <w:rFonts w:ascii="Times New Roman" w:hAnsi="Times New Roman" w:cs="Times New Roman"/>
                <w:b/>
                <w:bCs/>
                <w:i/>
                <w:iCs/>
                <w:sz w:val="24"/>
                <w:szCs w:val="24"/>
                <w:shd w:val="clear" w:color="auto" w:fill="FFFFFF"/>
              </w:rPr>
              <w:t>jauns nekustamā īpašuma nodokļa objekts (</w:t>
            </w:r>
            <w:r w:rsidRPr="002211F9">
              <w:rPr>
                <w:rFonts w:ascii="Times New Roman" w:hAnsi="Times New Roman" w:cs="Times New Roman"/>
                <w:b/>
                <w:bCs/>
                <w:i/>
                <w:iCs/>
                <w:sz w:val="24"/>
                <w:szCs w:val="24"/>
              </w:rPr>
              <w:t>attiecas uz tām būvēm (ēkām), kuru galvenais lietošanas veids pēc būvju klasifikācijas koda ir – 1211</w:t>
            </w:r>
            <w:r w:rsidRPr="002211F9">
              <w:rPr>
                <w:rStyle w:val="Vresatsauce"/>
                <w:rFonts w:ascii="Times New Roman" w:hAnsi="Times New Roman" w:cs="Times New Roman"/>
                <w:b/>
                <w:bCs/>
                <w:i/>
                <w:iCs/>
                <w:sz w:val="24"/>
                <w:szCs w:val="24"/>
              </w:rPr>
              <w:footnoteReference w:id="1"/>
            </w:r>
            <w:r w:rsidRPr="002211F9">
              <w:rPr>
                <w:rFonts w:ascii="Times New Roman" w:hAnsi="Times New Roman" w:cs="Times New Roman"/>
                <w:b/>
                <w:bCs/>
                <w:i/>
                <w:iCs/>
                <w:sz w:val="24"/>
                <w:szCs w:val="24"/>
              </w:rPr>
              <w:t>; 1220</w:t>
            </w:r>
            <w:r w:rsidRPr="002211F9">
              <w:rPr>
                <w:rStyle w:val="Vresatsauce"/>
                <w:rFonts w:ascii="Times New Roman" w:hAnsi="Times New Roman" w:cs="Times New Roman"/>
                <w:b/>
                <w:bCs/>
                <w:i/>
                <w:iCs/>
                <w:sz w:val="24"/>
                <w:szCs w:val="24"/>
              </w:rPr>
              <w:footnoteReference w:id="2"/>
            </w:r>
            <w:r w:rsidRPr="002211F9">
              <w:rPr>
                <w:rFonts w:ascii="Times New Roman" w:hAnsi="Times New Roman" w:cs="Times New Roman"/>
                <w:b/>
                <w:bCs/>
                <w:i/>
                <w:iCs/>
                <w:sz w:val="24"/>
                <w:szCs w:val="24"/>
              </w:rPr>
              <w:t>; 1230</w:t>
            </w:r>
            <w:r w:rsidRPr="002211F9">
              <w:rPr>
                <w:rStyle w:val="Vresatsauce"/>
                <w:rFonts w:ascii="Times New Roman" w:hAnsi="Times New Roman" w:cs="Times New Roman"/>
                <w:b/>
                <w:bCs/>
                <w:i/>
                <w:iCs/>
                <w:sz w:val="24"/>
                <w:szCs w:val="24"/>
              </w:rPr>
              <w:footnoteReference w:id="3"/>
            </w:r>
            <w:r w:rsidRPr="002211F9">
              <w:rPr>
                <w:rFonts w:ascii="Times New Roman" w:hAnsi="Times New Roman" w:cs="Times New Roman"/>
                <w:b/>
                <w:bCs/>
                <w:i/>
                <w:iCs/>
                <w:sz w:val="24"/>
                <w:szCs w:val="24"/>
              </w:rPr>
              <w:t>; 1251</w:t>
            </w:r>
            <w:r w:rsidRPr="002211F9">
              <w:rPr>
                <w:rStyle w:val="Vresatsauce"/>
                <w:rFonts w:ascii="Times New Roman" w:hAnsi="Times New Roman" w:cs="Times New Roman"/>
                <w:b/>
                <w:bCs/>
                <w:i/>
                <w:iCs/>
                <w:sz w:val="24"/>
                <w:szCs w:val="24"/>
              </w:rPr>
              <w:footnoteReference w:id="4"/>
            </w:r>
            <w:r w:rsidRPr="002211F9">
              <w:rPr>
                <w:rFonts w:ascii="Times New Roman" w:hAnsi="Times New Roman" w:cs="Times New Roman"/>
                <w:b/>
                <w:bCs/>
                <w:i/>
                <w:iCs/>
                <w:sz w:val="24"/>
                <w:szCs w:val="24"/>
              </w:rPr>
              <w:t>; 1252</w:t>
            </w:r>
            <w:r w:rsidRPr="002211F9">
              <w:rPr>
                <w:rStyle w:val="Vresatsauce"/>
                <w:rFonts w:ascii="Times New Roman" w:hAnsi="Times New Roman" w:cs="Times New Roman"/>
                <w:b/>
                <w:bCs/>
                <w:i/>
                <w:iCs/>
                <w:sz w:val="24"/>
                <w:szCs w:val="24"/>
              </w:rPr>
              <w:footnoteReference w:id="5"/>
            </w:r>
            <w:r w:rsidRPr="002211F9">
              <w:rPr>
                <w:rFonts w:ascii="Times New Roman" w:hAnsi="Times New Roman" w:cs="Times New Roman"/>
                <w:b/>
                <w:bCs/>
                <w:i/>
                <w:iCs/>
                <w:sz w:val="24"/>
                <w:szCs w:val="24"/>
              </w:rPr>
              <w:t>)</w:t>
            </w:r>
            <w:r w:rsidRPr="002211F9">
              <w:rPr>
                <w:rFonts w:ascii="Times New Roman" w:hAnsi="Times New Roman" w:cs="Times New Roman"/>
                <w:i/>
                <w:iCs/>
                <w:sz w:val="24"/>
                <w:szCs w:val="24"/>
              </w:rPr>
              <w:t>, nekustamā īpašuma nodokļu summa samazināma par 50 % līdz 3 (trīs) gadiem</w:t>
            </w:r>
            <w:r w:rsidRPr="00020D0B">
              <w:rPr>
                <w:rFonts w:ascii="Times New Roman" w:hAnsi="Times New Roman" w:cs="Times New Roman"/>
                <w:sz w:val="24"/>
                <w:szCs w:val="24"/>
              </w:rPr>
              <w:t>”</w:t>
            </w:r>
          </w:p>
          <w:p w14:paraId="30FBED1A" w14:textId="77777777" w:rsidR="00DC5EEB" w:rsidRDefault="00DC5EEB" w:rsidP="00020D0B">
            <w:pPr>
              <w:suppressAutoHyphens/>
              <w:spacing w:after="0"/>
              <w:ind w:left="603" w:firstLine="142"/>
              <w:jc w:val="both"/>
              <w:rPr>
                <w:rFonts w:ascii="Times New Roman" w:hAnsi="Times New Roman" w:cs="Times New Roman"/>
                <w:sz w:val="24"/>
                <w:szCs w:val="24"/>
              </w:rPr>
            </w:pPr>
          </w:p>
          <w:p w14:paraId="00CAC3EC" w14:textId="195019D6" w:rsidR="0040644D" w:rsidRPr="00062DC2" w:rsidRDefault="00062DC2" w:rsidP="00020D0B">
            <w:pPr>
              <w:suppressAutoHyphens/>
              <w:spacing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nekustamajam īpašumam:</w:t>
            </w:r>
          </w:p>
        </w:tc>
      </w:tr>
      <w:tr w:rsidR="006949BD" w:rsidRPr="00DA798E" w14:paraId="1FDE3F0C" w14:textId="77777777" w:rsidTr="000720F3">
        <w:trPr>
          <w:trHeight w:val="475"/>
        </w:trPr>
        <w:tc>
          <w:tcPr>
            <w:tcW w:w="8931" w:type="dxa"/>
            <w:gridSpan w:val="9"/>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1150014"/>
            <w:bookmarkStart w:id="1" w:name="_Hlk115775954"/>
            <w:bookmarkStart w:id="2" w:name="_Hlk121148696"/>
          </w:p>
        </w:tc>
      </w:tr>
      <w:tr w:rsidR="006949BD" w:rsidRPr="00DA798E" w14:paraId="2FFEFE7B" w14:textId="77777777" w:rsidTr="000720F3">
        <w:trPr>
          <w:trHeight w:val="135"/>
        </w:trPr>
        <w:tc>
          <w:tcPr>
            <w:tcW w:w="8931" w:type="dxa"/>
            <w:gridSpan w:val="9"/>
            <w:tcBorders>
              <w:top w:val="single" w:sz="4" w:space="0" w:color="auto"/>
            </w:tcBorders>
            <w:shd w:val="clear" w:color="auto" w:fill="auto"/>
          </w:tcPr>
          <w:p w14:paraId="322AD375" w14:textId="386556C9"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DC5EEB">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0"/>
      <w:bookmarkEnd w:id="1"/>
      <w:bookmarkEnd w:id="2"/>
      <w:tr w:rsidR="00062DC2" w:rsidRPr="00DA798E" w14:paraId="4C13F0BE" w14:textId="77777777" w:rsidTr="000720F3">
        <w:trPr>
          <w:trHeight w:val="854"/>
        </w:trPr>
        <w:tc>
          <w:tcPr>
            <w:tcW w:w="8931" w:type="dxa"/>
            <w:gridSpan w:val="9"/>
            <w:shd w:val="clear" w:color="auto" w:fill="auto"/>
          </w:tcPr>
          <w:p w14:paraId="7FC53876" w14:textId="61D0B471"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537ACB">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0720F3">
        <w:trPr>
          <w:trHeight w:val="68"/>
        </w:trPr>
        <w:tc>
          <w:tcPr>
            <w:tcW w:w="8931" w:type="dxa"/>
            <w:gridSpan w:val="9"/>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0720F3">
        <w:trPr>
          <w:trHeight w:val="312"/>
        </w:trPr>
        <w:tc>
          <w:tcPr>
            <w:tcW w:w="2552" w:type="dxa"/>
            <w:gridSpan w:val="4"/>
            <w:shd w:val="clear" w:color="auto" w:fill="auto"/>
          </w:tcPr>
          <w:p w14:paraId="161A22D9" w14:textId="1EA74864" w:rsidR="00DF505C" w:rsidRPr="005203E8" w:rsidRDefault="00DC5EEB"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1843" w:type="dxa"/>
            <w:gridSpan w:val="2"/>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4536" w:type="dxa"/>
            <w:gridSpan w:val="3"/>
            <w:shd w:val="clear" w:color="auto" w:fill="auto"/>
          </w:tcPr>
          <w:p w14:paraId="36072044" w14:textId="3B938A3D"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0720F3">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7"/>
            <w:shd w:val="clear" w:color="auto" w:fill="auto"/>
          </w:tcPr>
          <w:p w14:paraId="7E6651DA" w14:textId="0FAB5975"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0720F3">
        <w:trPr>
          <w:trHeight w:val="289"/>
        </w:trPr>
        <w:tc>
          <w:tcPr>
            <w:tcW w:w="8931" w:type="dxa"/>
            <w:gridSpan w:val="9"/>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0720F3">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6"/>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0720F3">
        <w:trPr>
          <w:trHeight w:val="289"/>
        </w:trPr>
        <w:tc>
          <w:tcPr>
            <w:tcW w:w="8931" w:type="dxa"/>
            <w:gridSpan w:val="9"/>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0720F3">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7"/>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020D0B" w:rsidRPr="00DA798E" w14:paraId="52711F98" w14:textId="77777777" w:rsidTr="000720F3">
        <w:trPr>
          <w:trHeight w:val="289"/>
        </w:trPr>
        <w:tc>
          <w:tcPr>
            <w:tcW w:w="605" w:type="dxa"/>
            <w:gridSpan w:val="2"/>
            <w:shd w:val="clear" w:color="auto" w:fill="auto"/>
          </w:tcPr>
          <w:p w14:paraId="2F616230" w14:textId="77777777" w:rsidR="00020D0B" w:rsidRDefault="00020D0B"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7"/>
            <w:shd w:val="clear" w:color="auto" w:fill="auto"/>
          </w:tcPr>
          <w:p w14:paraId="1ED7A8BD" w14:textId="4EB5ADED" w:rsidR="00020D0B" w:rsidRDefault="0000000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020D0B" w:rsidRPr="005203E8">
                  <w:rPr>
                    <w:rFonts w:ascii="MS Gothic" w:eastAsia="MS Gothic" w:hAnsi="MS Gothic" w:cs="Times New Roman" w:hint="eastAsia"/>
                    <w:sz w:val="24"/>
                    <w:szCs w:val="24"/>
                    <w:lang w:eastAsia="lv-LV"/>
                  </w:rPr>
                  <w:t>☐</w:t>
                </w:r>
              </w:sdtContent>
            </w:sdt>
            <w:r w:rsidR="00020D0B" w:rsidRPr="008541A8">
              <w:rPr>
                <w:rStyle w:val="Vresatsauce"/>
                <w:rFonts w:ascii="Times New Roman" w:eastAsia="Times New Roman" w:hAnsi="Times New Roman" w:cs="Times New Roman"/>
                <w:sz w:val="28"/>
                <w:szCs w:val="28"/>
                <w:lang w:eastAsia="lv-LV"/>
              </w:rPr>
              <w:footnoteReference w:customMarkFollows="1" w:id="6"/>
              <w:sym w:font="Symbol" w:char="F02A"/>
            </w:r>
          </w:p>
        </w:tc>
      </w:tr>
      <w:tr w:rsidR="00DF505C" w:rsidRPr="00DA798E" w14:paraId="57E11D2D" w14:textId="77777777" w:rsidTr="000720F3">
        <w:tc>
          <w:tcPr>
            <w:tcW w:w="8931" w:type="dxa"/>
            <w:gridSpan w:val="9"/>
            <w:shd w:val="clear" w:color="auto" w:fill="auto"/>
          </w:tcPr>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3C6D455B" w14:textId="77777777" w:rsidR="000720F3" w:rsidRDefault="000720F3" w:rsidP="00DF505C">
            <w:pPr>
              <w:spacing w:after="0" w:line="240" w:lineRule="auto"/>
              <w:ind w:left="-113" w:right="-113"/>
              <w:jc w:val="both"/>
              <w:rPr>
                <w:rFonts w:ascii="Times New Roman" w:eastAsia="Times New Roman" w:hAnsi="Times New Roman" w:cs="Times New Roman"/>
                <w:lang w:eastAsia="lv-LV"/>
              </w:rPr>
            </w:pPr>
          </w:p>
          <w:p w14:paraId="78CA9B0E" w14:textId="77777777" w:rsidR="000720F3" w:rsidRDefault="000720F3" w:rsidP="00DF505C">
            <w:pPr>
              <w:spacing w:after="0" w:line="240" w:lineRule="auto"/>
              <w:ind w:left="-113" w:right="-113"/>
              <w:jc w:val="both"/>
              <w:rPr>
                <w:rFonts w:ascii="Times New Roman" w:eastAsia="Times New Roman" w:hAnsi="Times New Roman" w:cs="Times New Roman"/>
                <w:lang w:eastAsia="lv-LV"/>
              </w:rPr>
            </w:pPr>
          </w:p>
          <w:p w14:paraId="53254551" w14:textId="470A7F83"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DC5EEB" w:rsidRPr="00DA798E" w14:paraId="5D55BAA4" w14:textId="77777777" w:rsidTr="000720F3">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C5EEB" w:rsidRPr="00C42D32" w:rsidRDefault="00DC5EEB"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817" w:type="dxa"/>
            <w:gridSpan w:val="7"/>
            <w:shd w:val="clear" w:color="auto" w:fill="auto"/>
          </w:tcPr>
          <w:p w14:paraId="64B1D4F4" w14:textId="262B0A7F" w:rsidR="00DC5EEB" w:rsidRPr="00C42D32" w:rsidRDefault="00DC5EEB"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616" w:type="dxa"/>
            <w:shd w:val="clear" w:color="auto" w:fill="auto"/>
          </w:tcPr>
          <w:p w14:paraId="6315FB47" w14:textId="55B03A1A" w:rsidR="00DC5EEB" w:rsidRPr="00C42D32" w:rsidRDefault="00DC5EEB" w:rsidP="00DF505C">
            <w:pPr>
              <w:spacing w:after="0" w:line="240" w:lineRule="auto"/>
              <w:ind w:left="-113" w:right="-113"/>
              <w:jc w:val="both"/>
              <w:rPr>
                <w:rFonts w:ascii="Times New Roman" w:eastAsia="Times New Roman" w:hAnsi="Times New Roman" w:cs="Times New Roman"/>
                <w:sz w:val="20"/>
                <w:szCs w:val="20"/>
                <w:lang w:eastAsia="lv-LV"/>
              </w:rPr>
            </w:pPr>
          </w:p>
        </w:tc>
      </w:tr>
      <w:tr w:rsidR="00DC5EEB" w:rsidRPr="00DA798E" w14:paraId="29FB9FE3" w14:textId="77777777" w:rsidTr="000720F3">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C1CBE31" w:rsidR="00DC5EEB" w:rsidRDefault="00DC5EEB"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817" w:type="dxa"/>
            <w:gridSpan w:val="7"/>
            <w:shd w:val="clear" w:color="auto" w:fill="auto"/>
          </w:tcPr>
          <w:p w14:paraId="41225E60" w14:textId="1DAF6630" w:rsidR="00DC5EEB" w:rsidRPr="00C42D32" w:rsidRDefault="00DC5EEB"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hAnsi="Times New Roman" w:cs="Times New Roman"/>
              </w:rPr>
              <w:t xml:space="preserve">saimnieciskās darbības veicējiem jāpievieno </w:t>
            </w:r>
            <w:r w:rsidRPr="00272B60">
              <w:rPr>
                <w:rFonts w:ascii="Times New Roman" w:hAnsi="Times New Roman" w:cs="Times New Roman"/>
                <w:i/>
                <w:iCs/>
              </w:rPr>
              <w:t>de minimis</w:t>
            </w:r>
            <w:r w:rsidRPr="00DD5275">
              <w:rPr>
                <w:rStyle w:val="Vresatsauce"/>
                <w:rFonts w:ascii="Times New Roman" w:hAnsi="Times New Roman" w:cs="Times New Roman"/>
              </w:rPr>
              <w:footnoteReference w:customMarkFollows="1" w:id="7"/>
              <w:sym w:font="Symbol" w:char="F02A"/>
            </w:r>
            <w:r w:rsidRPr="00DD5275">
              <w:rPr>
                <w:rStyle w:val="Vresatsauce"/>
                <w:rFonts w:ascii="Times New Roman" w:hAnsi="Times New Roman" w:cs="Times New Roman"/>
              </w:rPr>
              <w:sym w:font="Symbol" w:char="F02A"/>
            </w:r>
            <w:r w:rsidRPr="00272B60">
              <w:rPr>
                <w:rFonts w:ascii="Times New Roman" w:hAnsi="Times New Roman" w:cs="Times New Roman"/>
              </w:rPr>
              <w:t xml:space="preserve"> atbalsta sistēmas sagatavotās veidlapas izdruka vai jānorāda  izveidotās veidlapas identifikācijas numurs:</w:t>
            </w:r>
          </w:p>
        </w:tc>
        <w:tc>
          <w:tcPr>
            <w:tcW w:w="3616" w:type="dxa"/>
            <w:tcBorders>
              <w:bottom w:val="single" w:sz="4" w:space="0" w:color="auto"/>
            </w:tcBorders>
            <w:shd w:val="clear" w:color="auto" w:fill="auto"/>
          </w:tcPr>
          <w:p w14:paraId="0D239AF0" w14:textId="3BE0FBA3" w:rsidR="00DC5EEB" w:rsidRPr="00C42D32" w:rsidRDefault="00DC5EEB" w:rsidP="00DF505C">
            <w:pPr>
              <w:spacing w:after="0" w:line="240" w:lineRule="auto"/>
              <w:ind w:left="-113" w:right="-113"/>
              <w:jc w:val="both"/>
              <w:rPr>
                <w:rFonts w:ascii="Times New Roman" w:eastAsia="Times New Roman" w:hAnsi="Times New Roman" w:cs="Times New Roman"/>
                <w:sz w:val="20"/>
                <w:szCs w:val="20"/>
                <w:lang w:eastAsia="lv-LV"/>
              </w:rPr>
            </w:pPr>
          </w:p>
        </w:tc>
      </w:tr>
      <w:tr w:rsidR="00DC5EEB" w:rsidRPr="00DA798E" w14:paraId="58C2E280" w14:textId="77777777" w:rsidTr="000720F3">
        <w:tc>
          <w:tcPr>
            <w:tcW w:w="498" w:type="dxa"/>
            <w:shd w:val="clear" w:color="auto" w:fill="auto"/>
          </w:tcPr>
          <w:p w14:paraId="0B429E7D" w14:textId="67717C41" w:rsidR="00DC5EEB" w:rsidRPr="00DA798E" w:rsidRDefault="00DC5EEB"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817" w:type="dxa"/>
            <w:gridSpan w:val="7"/>
            <w:shd w:val="clear" w:color="auto" w:fill="auto"/>
          </w:tcPr>
          <w:p w14:paraId="25D17B52" w14:textId="71CE9D55" w:rsidR="00DC5EEB" w:rsidRPr="00DA798E" w:rsidRDefault="00DC5EEB"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616" w:type="dxa"/>
            <w:tcBorders>
              <w:bottom w:val="single" w:sz="4" w:space="0" w:color="auto"/>
            </w:tcBorders>
            <w:shd w:val="clear" w:color="auto" w:fill="auto"/>
          </w:tcPr>
          <w:p w14:paraId="09B0A552" w14:textId="601F24BE" w:rsidR="00DC5EEB" w:rsidRPr="00DA798E" w:rsidRDefault="00DC5EEB"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0720F3">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6863" w14:textId="77777777" w:rsidR="00CC0DFE" w:rsidRDefault="00CC0DFE">
      <w:pPr>
        <w:spacing w:after="0" w:line="240" w:lineRule="auto"/>
      </w:pPr>
      <w:r>
        <w:separator/>
      </w:r>
    </w:p>
  </w:endnote>
  <w:endnote w:type="continuationSeparator" w:id="0">
    <w:p w14:paraId="1B7B9EB9" w14:textId="77777777" w:rsidR="00CC0DFE" w:rsidRDefault="00CC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3E54" w14:textId="77777777" w:rsidR="00CC0DFE" w:rsidRDefault="00CC0DFE">
      <w:pPr>
        <w:spacing w:after="0" w:line="240" w:lineRule="auto"/>
      </w:pPr>
      <w:r>
        <w:separator/>
      </w:r>
    </w:p>
  </w:footnote>
  <w:footnote w:type="continuationSeparator" w:id="0">
    <w:p w14:paraId="504D589C" w14:textId="77777777" w:rsidR="00CC0DFE" w:rsidRDefault="00CC0DFE">
      <w:pPr>
        <w:spacing w:after="0" w:line="240" w:lineRule="auto"/>
      </w:pPr>
      <w:r>
        <w:continuationSeparator/>
      </w:r>
    </w:p>
  </w:footnote>
  <w:footnote w:id="1">
    <w:p w14:paraId="0DF88381" w14:textId="77777777" w:rsidR="00020D0B" w:rsidRDefault="00020D0B" w:rsidP="00020D0B">
      <w:pPr>
        <w:pStyle w:val="Vresteksts"/>
        <w:jc w:val="both"/>
      </w:pPr>
      <w:r>
        <w:rPr>
          <w:rStyle w:val="Vresatsauce"/>
        </w:rPr>
        <w:footnoteRef/>
      </w:r>
      <w:r>
        <w:t xml:space="preserve"> </w:t>
      </w:r>
      <w:r w:rsidRPr="00310A7F">
        <w:t>Viesnīcas un sabiedriskās ēdināšanas ēkas; viesnīcas un sabiedriskās ēdināšanas telpu grupa;</w:t>
      </w:r>
    </w:p>
  </w:footnote>
  <w:footnote w:id="2">
    <w:p w14:paraId="11D9977A" w14:textId="77777777" w:rsidR="00020D0B" w:rsidRDefault="00020D0B" w:rsidP="00020D0B">
      <w:pPr>
        <w:pStyle w:val="Vresteksts"/>
        <w:jc w:val="both"/>
      </w:pPr>
      <w:r>
        <w:rPr>
          <w:rStyle w:val="Vresatsauce"/>
        </w:rPr>
        <w:footnoteRef/>
      </w:r>
      <w:r>
        <w:t xml:space="preserve"> </w:t>
      </w:r>
      <w:r w:rsidRPr="00310A7F">
        <w:t>Biroju ēkas; biroja telpu grupa;</w:t>
      </w:r>
    </w:p>
  </w:footnote>
  <w:footnote w:id="3">
    <w:p w14:paraId="6394CBDB" w14:textId="77777777" w:rsidR="00020D0B" w:rsidRDefault="00020D0B" w:rsidP="00020D0B">
      <w:pPr>
        <w:pStyle w:val="Vresteksts"/>
        <w:jc w:val="both"/>
      </w:pPr>
      <w:r>
        <w:rPr>
          <w:rStyle w:val="Vresatsauce"/>
        </w:rPr>
        <w:footnoteRef/>
      </w:r>
      <w:r>
        <w:t xml:space="preserve"> </w:t>
      </w:r>
      <w:r w:rsidRPr="00310A7F">
        <w:t>Vairumtirdzniecības un mazumtirdzniecības ēkas; vairumtirdzniecības un mazumtirdzniecības telpu grupa;</w:t>
      </w:r>
    </w:p>
  </w:footnote>
  <w:footnote w:id="4">
    <w:p w14:paraId="5E5D74A9" w14:textId="77777777" w:rsidR="00020D0B" w:rsidRDefault="00020D0B" w:rsidP="00020D0B">
      <w:pPr>
        <w:pStyle w:val="Vresteksts"/>
        <w:jc w:val="both"/>
      </w:pPr>
      <w:r>
        <w:rPr>
          <w:rStyle w:val="Vresatsauce"/>
        </w:rPr>
        <w:footnoteRef/>
      </w:r>
      <w:r>
        <w:t xml:space="preserve"> </w:t>
      </w:r>
      <w:r w:rsidRPr="00310A7F">
        <w:t>Rūpnieciskās ražošanas ēkas; rūpniecības ražošanas telpu grupa;</w:t>
      </w:r>
    </w:p>
  </w:footnote>
  <w:footnote w:id="5">
    <w:p w14:paraId="42516B02" w14:textId="77777777" w:rsidR="00020D0B" w:rsidRDefault="00020D0B" w:rsidP="00020D0B">
      <w:pPr>
        <w:pStyle w:val="Vresteksts"/>
        <w:jc w:val="both"/>
      </w:pPr>
      <w:r>
        <w:rPr>
          <w:rStyle w:val="Vresatsauce"/>
        </w:rPr>
        <w:footnoteRef/>
      </w:r>
      <w:r>
        <w:t xml:space="preserve"> </w:t>
      </w:r>
      <w:r w:rsidRPr="00310A7F">
        <w:t>Noliktavas, rezervuāri, bunkuri un silosi; noliktavas, rezervuāra, bunkura, silosa telpu grupa</w:t>
      </w:r>
    </w:p>
  </w:footnote>
  <w:footnote w:id="6">
    <w:p w14:paraId="34DAE380" w14:textId="1B5B240D" w:rsidR="00020D0B" w:rsidRPr="000720F3" w:rsidRDefault="00020D0B" w:rsidP="000720F3">
      <w:pPr>
        <w:pStyle w:val="Kjene"/>
        <w:rPr>
          <w:rFonts w:ascii="Times New Roman" w:hAnsi="Times New Roman" w:cs="Times New Roman"/>
          <w:sz w:val="20"/>
          <w:szCs w:val="20"/>
        </w:rPr>
      </w:pPr>
      <w:r w:rsidRPr="008541A8">
        <w:rPr>
          <w:rStyle w:val="Vresatsau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 w:id="7">
    <w:p w14:paraId="6E6082B2" w14:textId="1B1BAAAA" w:rsidR="00DC5EEB" w:rsidRDefault="00DC5EEB" w:rsidP="00BB3A7F">
      <w:pPr>
        <w:pStyle w:val="Vresteksts"/>
        <w:jc w:val="both"/>
      </w:pPr>
      <w:r w:rsidRPr="008E39F9">
        <w:rPr>
          <w:rStyle w:val="Vresatsauce"/>
        </w:rPr>
        <w:sym w:font="Symbol" w:char="F02A"/>
      </w:r>
      <w:r w:rsidRPr="008E39F9">
        <w:rPr>
          <w:rStyle w:val="Vresatsau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hyperlink r:id="rId5" w:history="1">
        <w:r w:rsidRPr="005868D0">
          <w:rPr>
            <w:i/>
            <w:iCs/>
          </w:rPr>
          <w:t>de minimis</w:t>
        </w:r>
      </w:hyperlink>
      <w:r w:rsidRPr="005868D0">
        <w:t> atbalstam (</w:t>
      </w:r>
      <w:hyperlink r:id="rId6"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20D0B"/>
    <w:rsid w:val="00050074"/>
    <w:rsid w:val="00062DC2"/>
    <w:rsid w:val="000720F3"/>
    <w:rsid w:val="000B1930"/>
    <w:rsid w:val="000B1DAF"/>
    <w:rsid w:val="001027D1"/>
    <w:rsid w:val="00114F8A"/>
    <w:rsid w:val="00137D71"/>
    <w:rsid w:val="00143BA8"/>
    <w:rsid w:val="0018074C"/>
    <w:rsid w:val="001A5D81"/>
    <w:rsid w:val="001B4F8A"/>
    <w:rsid w:val="001C0AD7"/>
    <w:rsid w:val="001E0A5B"/>
    <w:rsid w:val="001E2403"/>
    <w:rsid w:val="001F66E1"/>
    <w:rsid w:val="0021768E"/>
    <w:rsid w:val="002211F9"/>
    <w:rsid w:val="002248A0"/>
    <w:rsid w:val="0025287E"/>
    <w:rsid w:val="00263DEE"/>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4694E"/>
    <w:rsid w:val="00447FAD"/>
    <w:rsid w:val="00461B67"/>
    <w:rsid w:val="004747E5"/>
    <w:rsid w:val="00497CCF"/>
    <w:rsid w:val="004A23F0"/>
    <w:rsid w:val="004A597C"/>
    <w:rsid w:val="004A61BB"/>
    <w:rsid w:val="004D0EA9"/>
    <w:rsid w:val="005203E8"/>
    <w:rsid w:val="0053368E"/>
    <w:rsid w:val="00537ACB"/>
    <w:rsid w:val="00565E48"/>
    <w:rsid w:val="00566A00"/>
    <w:rsid w:val="005704F6"/>
    <w:rsid w:val="00583CF4"/>
    <w:rsid w:val="005D65F3"/>
    <w:rsid w:val="005E0FEC"/>
    <w:rsid w:val="00603461"/>
    <w:rsid w:val="00613912"/>
    <w:rsid w:val="006462D7"/>
    <w:rsid w:val="006644F0"/>
    <w:rsid w:val="006949BD"/>
    <w:rsid w:val="006B0C1F"/>
    <w:rsid w:val="006E4A7C"/>
    <w:rsid w:val="00703493"/>
    <w:rsid w:val="00711A1F"/>
    <w:rsid w:val="00713B9B"/>
    <w:rsid w:val="00734AC9"/>
    <w:rsid w:val="007762D2"/>
    <w:rsid w:val="007838DC"/>
    <w:rsid w:val="007C28A4"/>
    <w:rsid w:val="007D1B95"/>
    <w:rsid w:val="008112DC"/>
    <w:rsid w:val="008541A8"/>
    <w:rsid w:val="00857886"/>
    <w:rsid w:val="00863413"/>
    <w:rsid w:val="008659C7"/>
    <w:rsid w:val="00865B11"/>
    <w:rsid w:val="0088087E"/>
    <w:rsid w:val="008822B5"/>
    <w:rsid w:val="008B7B59"/>
    <w:rsid w:val="008C1257"/>
    <w:rsid w:val="008C44DD"/>
    <w:rsid w:val="008E39F9"/>
    <w:rsid w:val="00987E99"/>
    <w:rsid w:val="00997189"/>
    <w:rsid w:val="009C74DB"/>
    <w:rsid w:val="009D0E5F"/>
    <w:rsid w:val="00A07DC1"/>
    <w:rsid w:val="00A150AF"/>
    <w:rsid w:val="00A571EB"/>
    <w:rsid w:val="00A824E4"/>
    <w:rsid w:val="00AA2410"/>
    <w:rsid w:val="00AA3212"/>
    <w:rsid w:val="00AD3141"/>
    <w:rsid w:val="00AD3F68"/>
    <w:rsid w:val="00AD6128"/>
    <w:rsid w:val="00B009DF"/>
    <w:rsid w:val="00B25889"/>
    <w:rsid w:val="00B4683A"/>
    <w:rsid w:val="00B51DA3"/>
    <w:rsid w:val="00BB3A7F"/>
    <w:rsid w:val="00BC77F0"/>
    <w:rsid w:val="00BE2FAF"/>
    <w:rsid w:val="00C30476"/>
    <w:rsid w:val="00C42D32"/>
    <w:rsid w:val="00C54DE4"/>
    <w:rsid w:val="00C63935"/>
    <w:rsid w:val="00CA070E"/>
    <w:rsid w:val="00CB126D"/>
    <w:rsid w:val="00CC0DFE"/>
    <w:rsid w:val="00CC6367"/>
    <w:rsid w:val="00CC71AB"/>
    <w:rsid w:val="00CD7FE4"/>
    <w:rsid w:val="00CF0339"/>
    <w:rsid w:val="00D01E13"/>
    <w:rsid w:val="00D221DC"/>
    <w:rsid w:val="00D63590"/>
    <w:rsid w:val="00D761B8"/>
    <w:rsid w:val="00D83D95"/>
    <w:rsid w:val="00D873AE"/>
    <w:rsid w:val="00D90623"/>
    <w:rsid w:val="00DA3224"/>
    <w:rsid w:val="00DA798E"/>
    <w:rsid w:val="00DB1706"/>
    <w:rsid w:val="00DB2EE3"/>
    <w:rsid w:val="00DB5BA2"/>
    <w:rsid w:val="00DB61D8"/>
    <w:rsid w:val="00DC1608"/>
    <w:rsid w:val="00DC5EEB"/>
    <w:rsid w:val="00DC66A2"/>
    <w:rsid w:val="00DD5275"/>
    <w:rsid w:val="00DD60C9"/>
    <w:rsid w:val="00DF0FD8"/>
    <w:rsid w:val="00DF505C"/>
    <w:rsid w:val="00E42EA8"/>
    <w:rsid w:val="00E46952"/>
    <w:rsid w:val="00E84E65"/>
    <w:rsid w:val="00E853C9"/>
    <w:rsid w:val="00EA4888"/>
    <w:rsid w:val="00EC136D"/>
    <w:rsid w:val="00ED0F95"/>
    <w:rsid w:val="00EF3F2E"/>
    <w:rsid w:val="00EF48CD"/>
    <w:rsid w:val="00F07225"/>
    <w:rsid w:val="00F1285C"/>
    <w:rsid w:val="00F35712"/>
    <w:rsid w:val="00F35B70"/>
    <w:rsid w:val="00F37D13"/>
    <w:rsid w:val="00F41A53"/>
    <w:rsid w:val="00F5022C"/>
    <w:rsid w:val="00F509BA"/>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6" Type="http://schemas.openxmlformats.org/officeDocument/2006/relationships/hyperlink" Target="http://www.l2d.lv/l.php?doc_id=208560" TargetMode="External"/><Relationship Id="rId5" Type="http://schemas.openxmlformats.org/officeDocument/2006/relationships/hyperlink" Target="http://www.l2d.lv/l.php?doc_id=195915"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1785</Words>
  <Characters>1019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94</cp:revision>
  <cp:lastPrinted>2022-12-19T13:10:00Z</cp:lastPrinted>
  <dcterms:created xsi:type="dcterms:W3CDTF">2022-10-03T14:36:00Z</dcterms:created>
  <dcterms:modified xsi:type="dcterms:W3CDTF">2022-12-21T13:42:00Z</dcterms:modified>
</cp:coreProperties>
</file>