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293" w:rsidRPr="000E1516" w:rsidRDefault="00E67293" w:rsidP="00E67293">
      <w:pPr>
        <w:spacing w:after="0" w:line="240" w:lineRule="auto"/>
        <w:jc w:val="right"/>
        <w:rPr>
          <w:rFonts w:ascii="Times New Roman" w:eastAsia="Times New Roman" w:hAnsi="Times New Roman" w:cs="Times New Roman"/>
          <w:sz w:val="20"/>
          <w:szCs w:val="20"/>
          <w:lang w:eastAsia="lv-LV"/>
        </w:rPr>
      </w:pPr>
      <w:r w:rsidRPr="000E1516">
        <w:rPr>
          <w:rFonts w:ascii="Times New Roman" w:eastAsia="Times New Roman" w:hAnsi="Times New Roman" w:cs="Times New Roman"/>
          <w:sz w:val="20"/>
          <w:szCs w:val="20"/>
          <w:lang w:eastAsia="lv-LV"/>
        </w:rPr>
        <w:t xml:space="preserve">      APSTIPRINĀTI</w:t>
      </w:r>
    </w:p>
    <w:p w:rsidR="00E67293" w:rsidRPr="000E1516" w:rsidRDefault="00E67293" w:rsidP="00E67293">
      <w:pPr>
        <w:spacing w:after="0" w:line="240" w:lineRule="auto"/>
        <w:jc w:val="right"/>
        <w:rPr>
          <w:rFonts w:ascii="Times New Roman" w:eastAsia="Times New Roman" w:hAnsi="Times New Roman" w:cs="Times New Roman"/>
          <w:sz w:val="20"/>
          <w:szCs w:val="20"/>
          <w:lang w:eastAsia="lv-LV"/>
        </w:rPr>
      </w:pPr>
      <w:r w:rsidRPr="000E1516">
        <w:rPr>
          <w:rFonts w:ascii="Times New Roman" w:eastAsia="Times New Roman" w:hAnsi="Times New Roman" w:cs="Times New Roman"/>
          <w:sz w:val="20"/>
          <w:szCs w:val="20"/>
          <w:lang w:eastAsia="lv-LV"/>
        </w:rPr>
        <w:tab/>
      </w:r>
      <w:r w:rsidRPr="000E1516">
        <w:rPr>
          <w:rFonts w:ascii="Times New Roman" w:eastAsia="Times New Roman" w:hAnsi="Times New Roman" w:cs="Times New Roman"/>
          <w:sz w:val="20"/>
          <w:szCs w:val="20"/>
          <w:lang w:eastAsia="lv-LV"/>
        </w:rPr>
        <w:tab/>
      </w:r>
      <w:r w:rsidRPr="000E1516">
        <w:rPr>
          <w:rFonts w:ascii="Times New Roman" w:eastAsia="Times New Roman" w:hAnsi="Times New Roman" w:cs="Times New Roman"/>
          <w:sz w:val="20"/>
          <w:szCs w:val="20"/>
          <w:lang w:eastAsia="lv-LV"/>
        </w:rPr>
        <w:tab/>
      </w:r>
      <w:r w:rsidRPr="000E1516">
        <w:rPr>
          <w:rFonts w:ascii="Times New Roman" w:eastAsia="Times New Roman" w:hAnsi="Times New Roman" w:cs="Times New Roman"/>
          <w:sz w:val="20"/>
          <w:szCs w:val="20"/>
          <w:lang w:eastAsia="lv-LV"/>
        </w:rPr>
        <w:tab/>
      </w:r>
      <w:r w:rsidRPr="000E1516">
        <w:rPr>
          <w:rFonts w:ascii="Times New Roman" w:eastAsia="Times New Roman" w:hAnsi="Times New Roman" w:cs="Times New Roman"/>
          <w:sz w:val="20"/>
          <w:szCs w:val="20"/>
          <w:lang w:eastAsia="lv-LV"/>
        </w:rPr>
        <w:tab/>
      </w:r>
      <w:r w:rsidRPr="000E1516">
        <w:rPr>
          <w:rFonts w:ascii="Times New Roman" w:eastAsia="Times New Roman" w:hAnsi="Times New Roman" w:cs="Times New Roman"/>
          <w:sz w:val="20"/>
          <w:szCs w:val="20"/>
          <w:lang w:eastAsia="lv-LV"/>
        </w:rPr>
        <w:tab/>
      </w:r>
      <w:r w:rsidRPr="000E1516">
        <w:rPr>
          <w:rFonts w:ascii="Times New Roman" w:eastAsia="Times New Roman" w:hAnsi="Times New Roman" w:cs="Times New Roman"/>
          <w:sz w:val="20"/>
          <w:szCs w:val="20"/>
          <w:lang w:eastAsia="lv-LV"/>
        </w:rPr>
        <w:tab/>
      </w:r>
      <w:r w:rsidRPr="000E1516">
        <w:rPr>
          <w:rFonts w:ascii="Times New Roman" w:eastAsia="Times New Roman" w:hAnsi="Times New Roman" w:cs="Times New Roman"/>
          <w:sz w:val="20"/>
          <w:szCs w:val="20"/>
          <w:lang w:eastAsia="lv-LV"/>
        </w:rPr>
        <w:tab/>
      </w:r>
      <w:r w:rsidRPr="000E1516">
        <w:rPr>
          <w:rFonts w:ascii="Times New Roman" w:eastAsia="Times New Roman" w:hAnsi="Times New Roman" w:cs="Times New Roman"/>
          <w:sz w:val="20"/>
          <w:szCs w:val="20"/>
          <w:lang w:eastAsia="lv-LV"/>
        </w:rPr>
        <w:tab/>
        <w:t>ar Tukuma novada Domes 29.01.2015.</w:t>
      </w:r>
    </w:p>
    <w:p w:rsidR="00E67293" w:rsidRPr="000E1516" w:rsidRDefault="00E67293" w:rsidP="00E67293">
      <w:pPr>
        <w:spacing w:after="0" w:line="240" w:lineRule="auto"/>
        <w:jc w:val="right"/>
        <w:rPr>
          <w:rFonts w:ascii="Times New Roman" w:eastAsia="Times New Roman" w:hAnsi="Times New Roman" w:cs="Times New Roman"/>
          <w:sz w:val="20"/>
          <w:szCs w:val="20"/>
          <w:lang w:eastAsia="lv-LV"/>
        </w:rPr>
      </w:pPr>
      <w:r w:rsidRPr="000E1516">
        <w:rPr>
          <w:rFonts w:ascii="Times New Roman" w:eastAsia="Times New Roman" w:hAnsi="Times New Roman" w:cs="Times New Roman"/>
          <w:sz w:val="20"/>
          <w:szCs w:val="20"/>
          <w:lang w:eastAsia="lv-LV"/>
        </w:rPr>
        <w:tab/>
      </w:r>
      <w:r w:rsidRPr="000E1516">
        <w:rPr>
          <w:rFonts w:ascii="Times New Roman" w:eastAsia="Times New Roman" w:hAnsi="Times New Roman" w:cs="Times New Roman"/>
          <w:sz w:val="20"/>
          <w:szCs w:val="20"/>
          <w:lang w:eastAsia="lv-LV"/>
        </w:rPr>
        <w:tab/>
      </w:r>
      <w:r w:rsidRPr="000E1516">
        <w:rPr>
          <w:rFonts w:ascii="Times New Roman" w:eastAsia="Times New Roman" w:hAnsi="Times New Roman" w:cs="Times New Roman"/>
          <w:sz w:val="20"/>
          <w:szCs w:val="20"/>
          <w:lang w:eastAsia="lv-LV"/>
        </w:rPr>
        <w:tab/>
      </w:r>
      <w:r w:rsidRPr="000E1516">
        <w:rPr>
          <w:rFonts w:ascii="Times New Roman" w:eastAsia="Times New Roman" w:hAnsi="Times New Roman" w:cs="Times New Roman"/>
          <w:sz w:val="20"/>
          <w:szCs w:val="20"/>
          <w:lang w:eastAsia="lv-LV"/>
        </w:rPr>
        <w:tab/>
      </w:r>
      <w:r w:rsidRPr="000E1516">
        <w:rPr>
          <w:rFonts w:ascii="Times New Roman" w:eastAsia="Times New Roman" w:hAnsi="Times New Roman" w:cs="Times New Roman"/>
          <w:sz w:val="20"/>
          <w:szCs w:val="20"/>
          <w:lang w:eastAsia="lv-LV"/>
        </w:rPr>
        <w:tab/>
      </w:r>
      <w:r w:rsidRPr="000E1516">
        <w:rPr>
          <w:rFonts w:ascii="Times New Roman" w:eastAsia="Times New Roman" w:hAnsi="Times New Roman" w:cs="Times New Roman"/>
          <w:sz w:val="20"/>
          <w:szCs w:val="20"/>
          <w:lang w:eastAsia="lv-LV"/>
        </w:rPr>
        <w:tab/>
      </w:r>
      <w:r w:rsidRPr="000E1516">
        <w:rPr>
          <w:rFonts w:ascii="Times New Roman" w:eastAsia="Times New Roman" w:hAnsi="Times New Roman" w:cs="Times New Roman"/>
          <w:sz w:val="20"/>
          <w:szCs w:val="20"/>
          <w:lang w:eastAsia="lv-LV"/>
        </w:rPr>
        <w:tab/>
      </w:r>
      <w:r w:rsidRPr="000E1516">
        <w:rPr>
          <w:rFonts w:ascii="Times New Roman" w:eastAsia="Times New Roman" w:hAnsi="Times New Roman" w:cs="Times New Roman"/>
          <w:sz w:val="20"/>
          <w:szCs w:val="20"/>
          <w:lang w:eastAsia="lv-LV"/>
        </w:rPr>
        <w:tab/>
      </w:r>
      <w:r w:rsidRPr="000E1516">
        <w:rPr>
          <w:rFonts w:ascii="Times New Roman" w:eastAsia="Times New Roman" w:hAnsi="Times New Roman" w:cs="Times New Roman"/>
          <w:sz w:val="20"/>
          <w:szCs w:val="20"/>
          <w:lang w:eastAsia="lv-LV"/>
        </w:rPr>
        <w:tab/>
        <w:t>lēmumu (prot.Nr.1,</w:t>
      </w:r>
      <w:r>
        <w:rPr>
          <w:rFonts w:ascii="Times New Roman" w:eastAsia="Times New Roman" w:hAnsi="Times New Roman" w:cs="Times New Roman"/>
          <w:sz w:val="20"/>
          <w:szCs w:val="20"/>
          <w:lang w:eastAsia="lv-LV"/>
        </w:rPr>
        <w:t xml:space="preserve"> 3</w:t>
      </w:r>
      <w:r w:rsidRPr="000E1516">
        <w:rPr>
          <w:rFonts w:ascii="Times New Roman" w:eastAsia="Times New Roman" w:hAnsi="Times New Roman" w:cs="Times New Roman"/>
          <w:sz w:val="20"/>
          <w:szCs w:val="20"/>
          <w:lang w:eastAsia="lv-LV"/>
        </w:rPr>
        <w:t>.§.)</w:t>
      </w:r>
    </w:p>
    <w:p w:rsidR="00E67293" w:rsidRPr="000E1516" w:rsidRDefault="00E67293" w:rsidP="00E67293">
      <w:pPr>
        <w:spacing w:after="0" w:line="240" w:lineRule="auto"/>
        <w:jc w:val="both"/>
        <w:rPr>
          <w:rFonts w:ascii="Times New Roman" w:eastAsia="Times New Roman" w:hAnsi="Times New Roman" w:cs="Times New Roman"/>
          <w:sz w:val="24"/>
          <w:szCs w:val="24"/>
          <w:lang w:eastAsia="lv-LV"/>
        </w:rPr>
      </w:pPr>
    </w:p>
    <w:p w:rsidR="00E67293" w:rsidRPr="000E1516" w:rsidRDefault="00E67293" w:rsidP="00E67293">
      <w:pPr>
        <w:spacing w:after="0" w:line="240" w:lineRule="auto"/>
        <w:jc w:val="center"/>
        <w:rPr>
          <w:rFonts w:ascii="Times New Roman" w:eastAsia="Times New Roman" w:hAnsi="Times New Roman" w:cs="Times New Roman"/>
          <w:b/>
          <w:sz w:val="24"/>
          <w:szCs w:val="24"/>
          <w:lang w:eastAsia="lv-LV"/>
        </w:rPr>
      </w:pPr>
      <w:r w:rsidRPr="000E1516">
        <w:rPr>
          <w:rFonts w:ascii="Times New Roman" w:eastAsia="Times New Roman" w:hAnsi="Times New Roman" w:cs="Times New Roman"/>
          <w:b/>
          <w:sz w:val="24"/>
          <w:szCs w:val="24"/>
          <w:lang w:eastAsia="lv-LV"/>
        </w:rPr>
        <w:t>SAISTOŠIE NOTEIKUMI</w:t>
      </w:r>
    </w:p>
    <w:p w:rsidR="00E67293" w:rsidRPr="000E1516" w:rsidRDefault="00E67293" w:rsidP="00E67293">
      <w:pPr>
        <w:spacing w:after="0" w:line="240" w:lineRule="auto"/>
        <w:jc w:val="center"/>
        <w:rPr>
          <w:rFonts w:ascii="Times New Roman" w:eastAsia="Times New Roman" w:hAnsi="Times New Roman" w:cs="Times New Roman"/>
          <w:sz w:val="24"/>
          <w:szCs w:val="24"/>
          <w:lang w:eastAsia="lv-LV"/>
        </w:rPr>
      </w:pPr>
      <w:r w:rsidRPr="000E1516">
        <w:rPr>
          <w:rFonts w:ascii="Times New Roman" w:eastAsia="Times New Roman" w:hAnsi="Times New Roman" w:cs="Times New Roman"/>
          <w:sz w:val="24"/>
          <w:szCs w:val="24"/>
          <w:lang w:eastAsia="lv-LV"/>
        </w:rPr>
        <w:t>Tukumā</w:t>
      </w:r>
    </w:p>
    <w:p w:rsidR="00E67293" w:rsidRPr="000E1516" w:rsidRDefault="00E67293" w:rsidP="00E67293">
      <w:pPr>
        <w:spacing w:after="0" w:line="240" w:lineRule="auto"/>
        <w:jc w:val="both"/>
        <w:rPr>
          <w:rFonts w:ascii="Times New Roman" w:eastAsia="Times New Roman" w:hAnsi="Times New Roman" w:cs="Times New Roman"/>
          <w:b/>
          <w:sz w:val="24"/>
          <w:szCs w:val="24"/>
          <w:lang w:eastAsia="lv-LV"/>
        </w:rPr>
      </w:pPr>
      <w:r w:rsidRPr="000E1516">
        <w:rPr>
          <w:rFonts w:ascii="Times New Roman" w:eastAsia="Times New Roman" w:hAnsi="Times New Roman" w:cs="Times New Roman"/>
          <w:b/>
          <w:sz w:val="24"/>
          <w:szCs w:val="24"/>
          <w:lang w:eastAsia="lv-LV"/>
        </w:rPr>
        <w:t xml:space="preserve">2015. gada </w:t>
      </w:r>
      <w:proofErr w:type="gramStart"/>
      <w:r w:rsidRPr="000E1516">
        <w:rPr>
          <w:rFonts w:ascii="Times New Roman" w:eastAsia="Times New Roman" w:hAnsi="Times New Roman" w:cs="Times New Roman"/>
          <w:b/>
          <w:sz w:val="24"/>
          <w:szCs w:val="24"/>
          <w:lang w:eastAsia="lv-LV"/>
        </w:rPr>
        <w:t>29.janvārī</w:t>
      </w:r>
      <w:proofErr w:type="gramEnd"/>
      <w:r w:rsidRPr="000E1516">
        <w:rPr>
          <w:rFonts w:ascii="Times New Roman" w:eastAsia="Times New Roman" w:hAnsi="Times New Roman" w:cs="Times New Roman"/>
          <w:b/>
          <w:sz w:val="24"/>
          <w:szCs w:val="24"/>
          <w:lang w:eastAsia="lv-LV"/>
        </w:rPr>
        <w:tab/>
      </w:r>
      <w:r w:rsidRPr="000E1516">
        <w:rPr>
          <w:rFonts w:ascii="Times New Roman" w:eastAsia="Times New Roman" w:hAnsi="Times New Roman" w:cs="Times New Roman"/>
          <w:b/>
          <w:sz w:val="24"/>
          <w:szCs w:val="24"/>
          <w:lang w:eastAsia="lv-LV"/>
        </w:rPr>
        <w:tab/>
      </w:r>
      <w:r w:rsidRPr="000E1516">
        <w:rPr>
          <w:rFonts w:ascii="Times New Roman" w:eastAsia="Times New Roman" w:hAnsi="Times New Roman" w:cs="Times New Roman"/>
          <w:b/>
          <w:sz w:val="24"/>
          <w:szCs w:val="24"/>
          <w:lang w:eastAsia="lv-LV"/>
        </w:rPr>
        <w:tab/>
      </w:r>
      <w:r w:rsidRPr="000E1516">
        <w:rPr>
          <w:rFonts w:ascii="Times New Roman" w:eastAsia="Times New Roman" w:hAnsi="Times New Roman" w:cs="Times New Roman"/>
          <w:b/>
          <w:sz w:val="24"/>
          <w:szCs w:val="24"/>
          <w:lang w:eastAsia="lv-LV"/>
        </w:rPr>
        <w:tab/>
      </w:r>
      <w:r w:rsidRPr="000E1516">
        <w:rPr>
          <w:rFonts w:ascii="Times New Roman" w:eastAsia="Times New Roman" w:hAnsi="Times New Roman" w:cs="Times New Roman"/>
          <w:b/>
          <w:sz w:val="24"/>
          <w:szCs w:val="24"/>
          <w:lang w:eastAsia="lv-LV"/>
        </w:rPr>
        <w:tab/>
      </w:r>
      <w:r w:rsidRPr="000E1516">
        <w:rPr>
          <w:rFonts w:ascii="Times New Roman" w:eastAsia="Times New Roman" w:hAnsi="Times New Roman" w:cs="Times New Roman"/>
          <w:b/>
          <w:sz w:val="24"/>
          <w:szCs w:val="24"/>
          <w:lang w:eastAsia="lv-LV"/>
        </w:rPr>
        <w:tab/>
      </w:r>
      <w:r w:rsidRPr="000E1516">
        <w:rPr>
          <w:rFonts w:ascii="Times New Roman" w:eastAsia="Times New Roman" w:hAnsi="Times New Roman" w:cs="Times New Roman"/>
          <w:b/>
          <w:sz w:val="24"/>
          <w:szCs w:val="24"/>
          <w:lang w:eastAsia="lv-LV"/>
        </w:rPr>
        <w:tab/>
      </w:r>
      <w:r w:rsidRPr="000E1516">
        <w:rPr>
          <w:rFonts w:ascii="Times New Roman" w:eastAsia="Times New Roman" w:hAnsi="Times New Roman" w:cs="Times New Roman"/>
          <w:b/>
          <w:sz w:val="24"/>
          <w:szCs w:val="24"/>
          <w:lang w:eastAsia="lv-LV"/>
        </w:rPr>
        <w:tab/>
      </w:r>
      <w:r w:rsidRPr="000E1516">
        <w:rPr>
          <w:rFonts w:ascii="Times New Roman" w:eastAsia="Times New Roman" w:hAnsi="Times New Roman" w:cs="Times New Roman"/>
          <w:b/>
          <w:sz w:val="24"/>
          <w:szCs w:val="24"/>
          <w:lang w:eastAsia="lv-LV"/>
        </w:rPr>
        <w:tab/>
        <w:t>Nr.</w:t>
      </w:r>
      <w:r>
        <w:rPr>
          <w:rFonts w:ascii="Times New Roman" w:eastAsia="Times New Roman" w:hAnsi="Times New Roman" w:cs="Times New Roman"/>
          <w:b/>
          <w:sz w:val="24"/>
          <w:szCs w:val="24"/>
          <w:lang w:eastAsia="lv-LV"/>
        </w:rPr>
        <w:t>1</w:t>
      </w:r>
    </w:p>
    <w:p w:rsidR="00E67293" w:rsidRPr="000E1516" w:rsidRDefault="00E67293" w:rsidP="00E67293">
      <w:pPr>
        <w:spacing w:after="0" w:line="240" w:lineRule="auto"/>
        <w:jc w:val="right"/>
        <w:rPr>
          <w:rFonts w:ascii="Times New Roman" w:eastAsia="Times New Roman" w:hAnsi="Times New Roman" w:cs="Times New Roman"/>
          <w:sz w:val="24"/>
          <w:szCs w:val="24"/>
          <w:lang w:eastAsia="lv-LV"/>
        </w:rPr>
      </w:pPr>
      <w:r w:rsidRPr="000E1516">
        <w:rPr>
          <w:rFonts w:ascii="Times New Roman" w:eastAsia="Times New Roman" w:hAnsi="Times New Roman" w:cs="Times New Roman"/>
          <w:sz w:val="24"/>
          <w:szCs w:val="24"/>
          <w:lang w:eastAsia="lv-LV"/>
        </w:rPr>
        <w:t>(prot.Nr.1,</w:t>
      </w:r>
      <w:r>
        <w:rPr>
          <w:rFonts w:ascii="Times New Roman" w:eastAsia="Times New Roman" w:hAnsi="Times New Roman" w:cs="Times New Roman"/>
          <w:sz w:val="24"/>
          <w:szCs w:val="24"/>
          <w:lang w:eastAsia="lv-LV"/>
        </w:rPr>
        <w:t xml:space="preserve"> 3</w:t>
      </w:r>
      <w:r w:rsidRPr="000E1516">
        <w:rPr>
          <w:rFonts w:ascii="Times New Roman" w:eastAsia="Times New Roman" w:hAnsi="Times New Roman" w:cs="Times New Roman"/>
          <w:sz w:val="24"/>
          <w:szCs w:val="24"/>
          <w:lang w:eastAsia="lv-LV"/>
        </w:rPr>
        <w:t>.§.)</w:t>
      </w:r>
    </w:p>
    <w:p w:rsidR="00E67293" w:rsidRPr="000E1516" w:rsidRDefault="00E67293" w:rsidP="00E67293">
      <w:pPr>
        <w:spacing w:after="0" w:line="240" w:lineRule="auto"/>
        <w:jc w:val="both"/>
        <w:rPr>
          <w:rFonts w:ascii="Times New Roman" w:eastAsia="Times New Roman" w:hAnsi="Times New Roman" w:cs="Times New Roman"/>
          <w:b/>
          <w:sz w:val="24"/>
          <w:szCs w:val="24"/>
          <w:lang w:eastAsia="lv-LV"/>
        </w:rPr>
      </w:pPr>
    </w:p>
    <w:p w:rsidR="00E67293" w:rsidRPr="000E1516" w:rsidRDefault="00E67293" w:rsidP="00E67293">
      <w:pPr>
        <w:spacing w:after="0" w:line="240" w:lineRule="auto"/>
        <w:jc w:val="both"/>
        <w:rPr>
          <w:rFonts w:ascii="Times New Roman" w:eastAsia="Times New Roman" w:hAnsi="Times New Roman" w:cs="Times New Roman"/>
          <w:b/>
          <w:sz w:val="24"/>
          <w:szCs w:val="24"/>
          <w:lang w:eastAsia="lv-LV"/>
        </w:rPr>
      </w:pPr>
      <w:r w:rsidRPr="000E1516">
        <w:rPr>
          <w:rFonts w:ascii="Times New Roman" w:eastAsia="Times New Roman" w:hAnsi="Times New Roman" w:cs="Times New Roman"/>
          <w:b/>
          <w:sz w:val="24"/>
          <w:szCs w:val="24"/>
          <w:lang w:eastAsia="lv-LV"/>
        </w:rPr>
        <w:t xml:space="preserve">Par Tukuma novada pašvaldības </w:t>
      </w:r>
      <w:proofErr w:type="gramStart"/>
      <w:r w:rsidRPr="000E1516">
        <w:rPr>
          <w:rFonts w:ascii="Times New Roman" w:eastAsia="Times New Roman" w:hAnsi="Times New Roman" w:cs="Times New Roman"/>
          <w:b/>
          <w:sz w:val="24"/>
          <w:szCs w:val="24"/>
          <w:lang w:eastAsia="lv-LV"/>
        </w:rPr>
        <w:t>2015.gada</w:t>
      </w:r>
      <w:proofErr w:type="gramEnd"/>
      <w:r w:rsidRPr="000E1516">
        <w:rPr>
          <w:rFonts w:ascii="Times New Roman" w:eastAsia="Times New Roman" w:hAnsi="Times New Roman" w:cs="Times New Roman"/>
          <w:b/>
          <w:sz w:val="24"/>
          <w:szCs w:val="24"/>
          <w:lang w:eastAsia="lv-LV"/>
        </w:rPr>
        <w:t xml:space="preserve"> </w:t>
      </w:r>
    </w:p>
    <w:p w:rsidR="00E67293" w:rsidRPr="000E1516" w:rsidRDefault="00E67293" w:rsidP="00E67293">
      <w:pPr>
        <w:spacing w:after="0" w:line="240" w:lineRule="auto"/>
        <w:jc w:val="both"/>
        <w:rPr>
          <w:rFonts w:ascii="Times New Roman" w:eastAsia="Times New Roman" w:hAnsi="Times New Roman" w:cs="Times New Roman"/>
          <w:b/>
          <w:sz w:val="24"/>
          <w:szCs w:val="24"/>
          <w:lang w:eastAsia="lv-LV"/>
        </w:rPr>
      </w:pPr>
      <w:r w:rsidRPr="000E1516">
        <w:rPr>
          <w:rFonts w:ascii="Times New Roman" w:eastAsia="Times New Roman" w:hAnsi="Times New Roman" w:cs="Times New Roman"/>
          <w:b/>
          <w:sz w:val="24"/>
          <w:szCs w:val="24"/>
          <w:lang w:eastAsia="lv-LV"/>
        </w:rPr>
        <w:t>pamatbudžetu un speciālo budžetu</w:t>
      </w:r>
    </w:p>
    <w:p w:rsidR="00E67293" w:rsidRPr="000E1516" w:rsidRDefault="00E67293" w:rsidP="00E67293">
      <w:pPr>
        <w:spacing w:after="0" w:line="240" w:lineRule="auto"/>
        <w:jc w:val="both"/>
        <w:rPr>
          <w:rFonts w:ascii="Times New Roman" w:eastAsia="Times New Roman" w:hAnsi="Times New Roman" w:cs="Times New Roman"/>
          <w:b/>
          <w:sz w:val="24"/>
          <w:szCs w:val="24"/>
          <w:lang w:eastAsia="lv-LV"/>
        </w:rPr>
      </w:pPr>
    </w:p>
    <w:p w:rsidR="00E67293" w:rsidRPr="000E1516" w:rsidRDefault="00E67293" w:rsidP="00E67293">
      <w:pPr>
        <w:spacing w:after="0" w:line="240" w:lineRule="auto"/>
        <w:ind w:left="6480"/>
        <w:jc w:val="both"/>
        <w:rPr>
          <w:rFonts w:ascii="Times New Roman" w:eastAsia="Times New Roman" w:hAnsi="Times New Roman" w:cs="Times New Roman"/>
          <w:sz w:val="20"/>
          <w:szCs w:val="20"/>
          <w:lang w:eastAsia="lv-LV"/>
        </w:rPr>
      </w:pPr>
      <w:r w:rsidRPr="000E1516">
        <w:rPr>
          <w:rFonts w:ascii="Times New Roman" w:eastAsia="Times New Roman" w:hAnsi="Times New Roman" w:cs="Times New Roman"/>
          <w:sz w:val="20"/>
          <w:szCs w:val="20"/>
          <w:lang w:eastAsia="lv-LV"/>
        </w:rPr>
        <w:t>Izdoti saskaņā ar likuma "</w:t>
      </w:r>
      <w:hyperlink r:id="rId4" w:history="1">
        <w:r w:rsidRPr="00E67293">
          <w:rPr>
            <w:rStyle w:val="Hyperlink"/>
            <w:rFonts w:ascii="Times New Roman" w:eastAsia="Times New Roman" w:hAnsi="Times New Roman" w:cs="Times New Roman"/>
            <w:sz w:val="20"/>
            <w:szCs w:val="20"/>
            <w:lang w:eastAsia="lv-LV"/>
          </w:rPr>
          <w:t>Par pašvaldībām</w:t>
        </w:r>
      </w:hyperlink>
      <w:r w:rsidRPr="000E1516">
        <w:rPr>
          <w:rFonts w:ascii="Times New Roman" w:eastAsia="Times New Roman" w:hAnsi="Times New Roman" w:cs="Times New Roman"/>
          <w:sz w:val="20"/>
          <w:szCs w:val="20"/>
          <w:lang w:eastAsia="lv-LV"/>
        </w:rPr>
        <w:t xml:space="preserve">" </w:t>
      </w:r>
      <w:proofErr w:type="gramStart"/>
      <w:r w:rsidRPr="000E1516">
        <w:rPr>
          <w:rFonts w:ascii="Times New Roman" w:eastAsia="Times New Roman" w:hAnsi="Times New Roman" w:cs="Times New Roman"/>
          <w:sz w:val="20"/>
          <w:szCs w:val="20"/>
          <w:lang w:eastAsia="lv-LV"/>
        </w:rPr>
        <w:t>21.panta</w:t>
      </w:r>
      <w:proofErr w:type="gramEnd"/>
      <w:r w:rsidRPr="000E1516">
        <w:rPr>
          <w:rFonts w:ascii="Times New Roman" w:eastAsia="Times New Roman" w:hAnsi="Times New Roman" w:cs="Times New Roman"/>
          <w:sz w:val="20"/>
          <w:szCs w:val="20"/>
          <w:lang w:eastAsia="lv-LV"/>
        </w:rPr>
        <w:t xml:space="preserve"> pirmās daļas 2.punktu un likumu </w:t>
      </w:r>
      <w:hyperlink r:id="rId5" w:history="1">
        <w:r w:rsidRPr="00E67293">
          <w:rPr>
            <w:rStyle w:val="Hyperlink"/>
            <w:rFonts w:ascii="Times New Roman" w:eastAsia="Times New Roman" w:hAnsi="Times New Roman" w:cs="Times New Roman"/>
            <w:sz w:val="20"/>
            <w:szCs w:val="20"/>
            <w:lang w:eastAsia="lv-LV"/>
          </w:rPr>
          <w:t>"Par pašvaldību budžetiem"</w:t>
        </w:r>
      </w:hyperlink>
    </w:p>
    <w:p w:rsidR="00E67293" w:rsidRPr="000E1516" w:rsidRDefault="00E67293" w:rsidP="00E67293">
      <w:pPr>
        <w:spacing w:after="0" w:line="240" w:lineRule="auto"/>
        <w:jc w:val="both"/>
        <w:rPr>
          <w:rFonts w:ascii="Times New Roman" w:eastAsia="Times New Roman" w:hAnsi="Times New Roman" w:cs="Times New Roman"/>
          <w:b/>
          <w:sz w:val="24"/>
          <w:szCs w:val="24"/>
          <w:lang w:eastAsia="lv-LV"/>
        </w:rPr>
      </w:pPr>
    </w:p>
    <w:p w:rsidR="00E67293" w:rsidRPr="00E51FB8" w:rsidRDefault="00E67293" w:rsidP="00E67293">
      <w:pPr>
        <w:spacing w:after="0" w:line="240" w:lineRule="auto"/>
        <w:jc w:val="both"/>
        <w:rPr>
          <w:rFonts w:ascii="Times New Roman" w:eastAsia="Times New Roman" w:hAnsi="Times New Roman" w:cs="Times New Roman"/>
          <w:sz w:val="24"/>
          <w:szCs w:val="24"/>
          <w:lang w:eastAsia="lv-LV"/>
        </w:rPr>
      </w:pPr>
    </w:p>
    <w:p w:rsidR="00E67293" w:rsidRPr="00E51FB8" w:rsidRDefault="00E67293" w:rsidP="00E67293">
      <w:pPr>
        <w:spacing w:after="0" w:line="240" w:lineRule="auto"/>
        <w:ind w:firstLine="720"/>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1. </w:t>
      </w:r>
      <w:r w:rsidRPr="00E51FB8">
        <w:rPr>
          <w:rFonts w:ascii="Times New Roman" w:eastAsia="Times New Roman" w:hAnsi="Times New Roman" w:cs="Times New Roman"/>
          <w:sz w:val="24"/>
          <w:szCs w:val="24"/>
          <w:lang w:eastAsia="lv-LV"/>
        </w:rPr>
        <w:t xml:space="preserve">Tukuma novada pašvaldības </w:t>
      </w:r>
      <w:proofErr w:type="gramStart"/>
      <w:r w:rsidRPr="00E51FB8">
        <w:rPr>
          <w:rFonts w:ascii="Times New Roman" w:eastAsia="Times New Roman" w:hAnsi="Times New Roman" w:cs="Times New Roman"/>
          <w:sz w:val="24"/>
          <w:szCs w:val="24"/>
          <w:lang w:eastAsia="lv-LV"/>
        </w:rPr>
        <w:t>2015.gada</w:t>
      </w:r>
      <w:proofErr w:type="gramEnd"/>
      <w:r w:rsidRPr="00E51FB8">
        <w:rPr>
          <w:rFonts w:ascii="Times New Roman" w:eastAsia="Times New Roman" w:hAnsi="Times New Roman" w:cs="Times New Roman"/>
          <w:sz w:val="24"/>
          <w:szCs w:val="24"/>
          <w:lang w:eastAsia="lv-LV"/>
        </w:rPr>
        <w:t xml:space="preserve"> pamatbudžeta ieņēmumi ir </w:t>
      </w:r>
      <w:r w:rsidRPr="00E51FB8">
        <w:rPr>
          <w:rFonts w:ascii="Times New Roman" w:eastAsia="Times New Roman" w:hAnsi="Times New Roman" w:cs="Times New Roman"/>
          <w:b/>
          <w:sz w:val="24"/>
          <w:szCs w:val="24"/>
          <w:lang w:eastAsia="lv-LV"/>
        </w:rPr>
        <w:t xml:space="preserve">28 662 125 </w:t>
      </w:r>
      <w:proofErr w:type="spellStart"/>
      <w:r w:rsidRPr="00E51FB8">
        <w:rPr>
          <w:rFonts w:ascii="Times New Roman" w:eastAsia="Times New Roman" w:hAnsi="Times New Roman" w:cs="Times New Roman"/>
          <w:b/>
          <w:i/>
          <w:sz w:val="24"/>
          <w:szCs w:val="24"/>
          <w:lang w:eastAsia="lv-LV"/>
        </w:rPr>
        <w:t>euro</w:t>
      </w:r>
      <w:proofErr w:type="spellEnd"/>
      <w:r w:rsidRPr="00E51FB8">
        <w:rPr>
          <w:rFonts w:ascii="Times New Roman" w:eastAsia="Times New Roman" w:hAnsi="Times New Roman" w:cs="Times New Roman"/>
          <w:i/>
          <w:sz w:val="24"/>
          <w:szCs w:val="24"/>
          <w:lang w:eastAsia="lv-LV"/>
        </w:rPr>
        <w:t xml:space="preserve"> </w:t>
      </w:r>
      <w:r w:rsidRPr="00E51FB8">
        <w:rPr>
          <w:rFonts w:ascii="Times New Roman" w:eastAsia="Times New Roman" w:hAnsi="Times New Roman" w:cs="Times New Roman"/>
          <w:sz w:val="24"/>
          <w:szCs w:val="24"/>
          <w:lang w:eastAsia="lv-LV"/>
        </w:rPr>
        <w:t xml:space="preserve">un izdevumi </w:t>
      </w:r>
      <w:r w:rsidRPr="00E51FB8">
        <w:rPr>
          <w:rFonts w:ascii="Times New Roman" w:eastAsia="Times New Roman" w:hAnsi="Times New Roman" w:cs="Times New Roman"/>
          <w:b/>
          <w:sz w:val="24"/>
          <w:szCs w:val="24"/>
          <w:lang w:eastAsia="lv-LV"/>
        </w:rPr>
        <w:t>29 823 171</w:t>
      </w:r>
      <w:r w:rsidRPr="00E51FB8">
        <w:rPr>
          <w:rFonts w:ascii="Times New Roman" w:eastAsia="Times New Roman" w:hAnsi="Times New Roman" w:cs="Times New Roman"/>
          <w:b/>
          <w:i/>
          <w:sz w:val="24"/>
          <w:szCs w:val="24"/>
          <w:lang w:eastAsia="lv-LV"/>
        </w:rPr>
        <w:t xml:space="preserve"> </w:t>
      </w:r>
      <w:proofErr w:type="spellStart"/>
      <w:r w:rsidRPr="00E51FB8">
        <w:rPr>
          <w:rFonts w:ascii="Times New Roman" w:eastAsia="Times New Roman" w:hAnsi="Times New Roman" w:cs="Times New Roman"/>
          <w:b/>
          <w:i/>
          <w:sz w:val="24"/>
          <w:szCs w:val="24"/>
          <w:lang w:eastAsia="lv-LV"/>
        </w:rPr>
        <w:t>euro</w:t>
      </w:r>
      <w:proofErr w:type="spellEnd"/>
      <w:r w:rsidRPr="00E51FB8">
        <w:rPr>
          <w:rFonts w:ascii="Times New Roman" w:eastAsia="Times New Roman" w:hAnsi="Times New Roman" w:cs="Times New Roman"/>
          <w:sz w:val="24"/>
          <w:szCs w:val="24"/>
          <w:lang w:eastAsia="lv-LV"/>
        </w:rPr>
        <w:t xml:space="preserve">, naudas līdzekļu atlikums gada sākumā – </w:t>
      </w:r>
      <w:r w:rsidRPr="00E51FB8">
        <w:rPr>
          <w:rFonts w:ascii="Times New Roman" w:eastAsia="Times New Roman" w:hAnsi="Times New Roman" w:cs="Times New Roman"/>
          <w:b/>
          <w:sz w:val="24"/>
          <w:szCs w:val="24"/>
          <w:lang w:eastAsia="lv-LV"/>
        </w:rPr>
        <w:t xml:space="preserve">2 170 418 </w:t>
      </w:r>
      <w:proofErr w:type="spellStart"/>
      <w:r w:rsidRPr="00E51FB8">
        <w:rPr>
          <w:rFonts w:ascii="Times New Roman" w:eastAsia="Times New Roman" w:hAnsi="Times New Roman" w:cs="Times New Roman"/>
          <w:b/>
          <w:i/>
          <w:sz w:val="24"/>
          <w:szCs w:val="24"/>
          <w:lang w:eastAsia="lv-LV"/>
        </w:rPr>
        <w:t>euro</w:t>
      </w:r>
      <w:proofErr w:type="spellEnd"/>
      <w:r w:rsidRPr="00E51FB8">
        <w:rPr>
          <w:rFonts w:ascii="Times New Roman" w:eastAsia="Times New Roman" w:hAnsi="Times New Roman" w:cs="Times New Roman"/>
          <w:sz w:val="24"/>
          <w:szCs w:val="24"/>
          <w:lang w:eastAsia="lv-LV"/>
        </w:rPr>
        <w:t xml:space="preserve">, atmaksājamie aizņēmumi </w:t>
      </w:r>
      <w:r w:rsidRPr="00E51FB8">
        <w:rPr>
          <w:rFonts w:ascii="Times New Roman" w:eastAsia="Times New Roman" w:hAnsi="Times New Roman" w:cs="Times New Roman"/>
          <w:b/>
          <w:sz w:val="24"/>
          <w:szCs w:val="24"/>
          <w:lang w:eastAsia="lv-LV"/>
        </w:rPr>
        <w:t>1 626 394</w:t>
      </w:r>
      <w:r w:rsidRPr="00E51FB8">
        <w:rPr>
          <w:rFonts w:ascii="Times New Roman" w:eastAsia="Times New Roman" w:hAnsi="Times New Roman" w:cs="Times New Roman"/>
          <w:b/>
          <w:i/>
          <w:sz w:val="24"/>
          <w:szCs w:val="24"/>
          <w:lang w:eastAsia="lv-LV"/>
        </w:rPr>
        <w:t xml:space="preserve"> </w:t>
      </w:r>
      <w:proofErr w:type="spellStart"/>
      <w:r w:rsidRPr="00E51FB8">
        <w:rPr>
          <w:rFonts w:ascii="Times New Roman" w:eastAsia="Times New Roman" w:hAnsi="Times New Roman" w:cs="Times New Roman"/>
          <w:b/>
          <w:i/>
          <w:sz w:val="24"/>
          <w:szCs w:val="24"/>
          <w:lang w:eastAsia="lv-LV"/>
        </w:rPr>
        <w:t>euro</w:t>
      </w:r>
      <w:proofErr w:type="spellEnd"/>
      <w:r w:rsidRPr="00E51FB8">
        <w:rPr>
          <w:rFonts w:ascii="Times New Roman" w:eastAsia="Times New Roman" w:hAnsi="Times New Roman" w:cs="Times New Roman"/>
          <w:sz w:val="24"/>
          <w:szCs w:val="24"/>
          <w:lang w:eastAsia="lv-LV"/>
        </w:rPr>
        <w:t xml:space="preserve">, naudas līdzekļu atlikums gada beigās </w:t>
      </w:r>
      <w:r w:rsidRPr="00E51FB8">
        <w:rPr>
          <w:rFonts w:ascii="Times New Roman" w:eastAsia="Times New Roman" w:hAnsi="Times New Roman" w:cs="Times New Roman"/>
          <w:b/>
          <w:sz w:val="24"/>
          <w:szCs w:val="24"/>
          <w:lang w:eastAsia="lv-LV"/>
        </w:rPr>
        <w:t xml:space="preserve">131 686 </w:t>
      </w:r>
      <w:proofErr w:type="spellStart"/>
      <w:r w:rsidRPr="00E51FB8">
        <w:rPr>
          <w:rFonts w:ascii="Times New Roman" w:eastAsia="Times New Roman" w:hAnsi="Times New Roman" w:cs="Times New Roman"/>
          <w:b/>
          <w:i/>
          <w:sz w:val="24"/>
          <w:szCs w:val="24"/>
          <w:lang w:eastAsia="lv-LV"/>
        </w:rPr>
        <w:t>euro</w:t>
      </w:r>
      <w:proofErr w:type="spellEnd"/>
      <w:r w:rsidRPr="00E51FB8">
        <w:rPr>
          <w:rFonts w:ascii="Times New Roman" w:eastAsia="Times New Roman" w:hAnsi="Times New Roman" w:cs="Times New Roman"/>
          <w:b/>
          <w:sz w:val="24"/>
          <w:szCs w:val="24"/>
          <w:lang w:eastAsia="lv-LV"/>
        </w:rPr>
        <w:t xml:space="preserve"> </w:t>
      </w:r>
      <w:r w:rsidRPr="00E51FB8">
        <w:rPr>
          <w:rFonts w:ascii="Times New Roman" w:eastAsia="Times New Roman" w:hAnsi="Times New Roman" w:cs="Times New Roman"/>
          <w:sz w:val="24"/>
          <w:szCs w:val="24"/>
          <w:lang w:eastAsia="lv-LV"/>
        </w:rPr>
        <w:t>(1.pielikums).</w:t>
      </w: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r w:rsidRPr="00E51FB8">
        <w:rPr>
          <w:rFonts w:ascii="Times New Roman" w:eastAsia="Times New Roman" w:hAnsi="Times New Roman" w:cs="Times New Roman"/>
          <w:sz w:val="24"/>
          <w:szCs w:val="24"/>
          <w:lang w:eastAsia="lv-LV"/>
        </w:rPr>
        <w:t>2. Līdzekļu apjoms izdevumiem neparedzētiem gadījumiem 423 261</w:t>
      </w:r>
      <w:r w:rsidRPr="00E51FB8">
        <w:rPr>
          <w:rFonts w:ascii="Times New Roman" w:eastAsia="Times New Roman" w:hAnsi="Times New Roman" w:cs="Times New Roman"/>
          <w:b/>
          <w:sz w:val="24"/>
          <w:szCs w:val="24"/>
          <w:lang w:eastAsia="lv-LV"/>
        </w:rPr>
        <w:t xml:space="preserve"> </w:t>
      </w:r>
      <w:proofErr w:type="spellStart"/>
      <w:r w:rsidRPr="00E51FB8">
        <w:rPr>
          <w:rFonts w:ascii="Times New Roman" w:eastAsia="Times New Roman" w:hAnsi="Times New Roman" w:cs="Times New Roman"/>
          <w:b/>
          <w:i/>
          <w:sz w:val="24"/>
          <w:szCs w:val="24"/>
          <w:lang w:eastAsia="lv-LV"/>
        </w:rPr>
        <w:t>euro</w:t>
      </w:r>
      <w:proofErr w:type="spellEnd"/>
      <w:r w:rsidRPr="00E51FB8">
        <w:rPr>
          <w:rFonts w:ascii="Times New Roman" w:eastAsia="Times New Roman" w:hAnsi="Times New Roman" w:cs="Times New Roman"/>
          <w:sz w:val="24"/>
          <w:szCs w:val="24"/>
          <w:lang w:eastAsia="lv-LV"/>
        </w:rPr>
        <w:t>,</w:t>
      </w:r>
      <w:r w:rsidRPr="00E51FB8">
        <w:rPr>
          <w:rFonts w:ascii="Times New Roman" w:eastAsia="Times New Roman" w:hAnsi="Times New Roman" w:cs="Times New Roman"/>
          <w:b/>
          <w:sz w:val="24"/>
          <w:szCs w:val="24"/>
          <w:lang w:eastAsia="lv-LV"/>
        </w:rPr>
        <w:t xml:space="preserve"> </w:t>
      </w:r>
      <w:r w:rsidRPr="00E51FB8">
        <w:rPr>
          <w:rFonts w:ascii="Times New Roman" w:eastAsia="Times New Roman" w:hAnsi="Times New Roman" w:cs="Times New Roman"/>
          <w:sz w:val="24"/>
          <w:szCs w:val="24"/>
          <w:lang w:eastAsia="lv-LV"/>
        </w:rPr>
        <w:t>t</w:t>
      </w:r>
      <w:r>
        <w:rPr>
          <w:rFonts w:ascii="Times New Roman" w:eastAsia="Times New Roman" w:hAnsi="Times New Roman" w:cs="Times New Roman"/>
          <w:sz w:val="24"/>
          <w:szCs w:val="24"/>
          <w:lang w:eastAsia="lv-LV"/>
        </w:rPr>
        <w:t>.</w:t>
      </w:r>
      <w:r w:rsidRPr="00E51FB8">
        <w:rPr>
          <w:rFonts w:ascii="Times New Roman" w:eastAsia="Times New Roman" w:hAnsi="Times New Roman" w:cs="Times New Roman"/>
          <w:sz w:val="24"/>
          <w:szCs w:val="24"/>
          <w:lang w:eastAsia="lv-LV"/>
        </w:rPr>
        <w:t xml:space="preserve"> sk</w:t>
      </w:r>
      <w:r>
        <w:rPr>
          <w:rFonts w:ascii="Times New Roman" w:eastAsia="Times New Roman" w:hAnsi="Times New Roman" w:cs="Times New Roman"/>
          <w:sz w:val="24"/>
          <w:szCs w:val="24"/>
          <w:lang w:eastAsia="lv-LV"/>
        </w:rPr>
        <w:t>.:</w:t>
      </w: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r w:rsidRPr="00E51FB8">
        <w:rPr>
          <w:rFonts w:ascii="Times New Roman" w:eastAsia="Times New Roman" w:hAnsi="Times New Roman" w:cs="Times New Roman"/>
          <w:sz w:val="24"/>
          <w:szCs w:val="24"/>
          <w:lang w:eastAsia="lv-LV"/>
        </w:rPr>
        <w:t xml:space="preserve">2.1. 273 261 </w:t>
      </w:r>
      <w:proofErr w:type="spellStart"/>
      <w:r w:rsidRPr="00E51FB8">
        <w:rPr>
          <w:rFonts w:ascii="Times New Roman" w:eastAsia="Times New Roman" w:hAnsi="Times New Roman" w:cs="Times New Roman"/>
          <w:i/>
          <w:sz w:val="24"/>
          <w:szCs w:val="24"/>
          <w:lang w:eastAsia="lv-LV"/>
        </w:rPr>
        <w:t>euro</w:t>
      </w:r>
      <w:proofErr w:type="spellEnd"/>
      <w:r w:rsidRPr="00E51FB8">
        <w:rPr>
          <w:rFonts w:ascii="Times New Roman" w:eastAsia="Times New Roman" w:hAnsi="Times New Roman" w:cs="Times New Roman"/>
          <w:i/>
          <w:sz w:val="24"/>
          <w:szCs w:val="24"/>
          <w:lang w:eastAsia="lv-LV"/>
        </w:rPr>
        <w:t xml:space="preserve"> </w:t>
      </w:r>
      <w:r w:rsidRPr="00E51FB8">
        <w:rPr>
          <w:rFonts w:ascii="Times New Roman" w:eastAsia="Times New Roman" w:hAnsi="Times New Roman" w:cs="Times New Roman"/>
          <w:sz w:val="24"/>
          <w:szCs w:val="24"/>
          <w:lang w:eastAsia="lv-LV"/>
        </w:rPr>
        <w:t>rezerves fonds;</w:t>
      </w: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r w:rsidRPr="00E51FB8">
        <w:rPr>
          <w:rFonts w:ascii="Times New Roman" w:eastAsia="Times New Roman" w:hAnsi="Times New Roman" w:cs="Times New Roman"/>
          <w:sz w:val="24"/>
          <w:szCs w:val="24"/>
          <w:lang w:eastAsia="lv-LV"/>
        </w:rPr>
        <w:t xml:space="preserve">2.2. 150 000 </w:t>
      </w:r>
      <w:proofErr w:type="spellStart"/>
      <w:r w:rsidRPr="00E51FB8">
        <w:rPr>
          <w:rFonts w:ascii="Times New Roman" w:eastAsia="Times New Roman" w:hAnsi="Times New Roman" w:cs="Times New Roman"/>
          <w:i/>
          <w:sz w:val="24"/>
          <w:szCs w:val="24"/>
          <w:lang w:eastAsia="lv-LV"/>
        </w:rPr>
        <w:t>euro</w:t>
      </w:r>
      <w:proofErr w:type="spellEnd"/>
      <w:r w:rsidRPr="00E51FB8">
        <w:rPr>
          <w:rFonts w:ascii="Times New Roman" w:eastAsia="Times New Roman" w:hAnsi="Times New Roman" w:cs="Times New Roman"/>
          <w:sz w:val="24"/>
          <w:szCs w:val="24"/>
          <w:lang w:eastAsia="lv-LV"/>
        </w:rPr>
        <w:t xml:space="preserve"> rezerves fonds projektu īstenošanai</w:t>
      </w:r>
      <w:r>
        <w:rPr>
          <w:rFonts w:ascii="Times New Roman" w:eastAsia="Times New Roman" w:hAnsi="Times New Roman" w:cs="Times New Roman"/>
          <w:sz w:val="24"/>
          <w:szCs w:val="24"/>
          <w:lang w:eastAsia="lv-LV"/>
        </w:rPr>
        <w:t>.</w:t>
      </w: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r w:rsidRPr="00E51FB8">
        <w:rPr>
          <w:rFonts w:ascii="Times New Roman" w:eastAsia="Times New Roman" w:hAnsi="Times New Roman" w:cs="Times New Roman"/>
          <w:sz w:val="24"/>
          <w:szCs w:val="24"/>
          <w:lang w:eastAsia="lv-LV"/>
        </w:rPr>
        <w:t xml:space="preserve">3. Tukuma novada pašvaldības </w:t>
      </w:r>
      <w:proofErr w:type="gramStart"/>
      <w:r w:rsidRPr="00E51FB8">
        <w:rPr>
          <w:rFonts w:ascii="Times New Roman" w:eastAsia="Times New Roman" w:hAnsi="Times New Roman" w:cs="Times New Roman"/>
          <w:sz w:val="24"/>
          <w:szCs w:val="24"/>
          <w:lang w:eastAsia="lv-LV"/>
        </w:rPr>
        <w:t>2015.gada</w:t>
      </w:r>
      <w:proofErr w:type="gramEnd"/>
      <w:r w:rsidRPr="00E51FB8">
        <w:rPr>
          <w:rFonts w:ascii="Times New Roman" w:eastAsia="Times New Roman" w:hAnsi="Times New Roman" w:cs="Times New Roman"/>
          <w:sz w:val="24"/>
          <w:szCs w:val="24"/>
          <w:lang w:eastAsia="lv-LV"/>
        </w:rPr>
        <w:t xml:space="preserve"> budžeta maksas pakalpojumu ieņēmumi – </w:t>
      </w:r>
      <w:r w:rsidRPr="00E51FB8">
        <w:rPr>
          <w:rFonts w:ascii="Times New Roman" w:eastAsia="Times New Roman" w:hAnsi="Times New Roman" w:cs="Times New Roman"/>
          <w:b/>
          <w:sz w:val="24"/>
          <w:szCs w:val="24"/>
          <w:lang w:eastAsia="lv-LV"/>
        </w:rPr>
        <w:t>879 425</w:t>
      </w:r>
      <w:r w:rsidRPr="00E51FB8">
        <w:rPr>
          <w:rFonts w:ascii="Times New Roman" w:eastAsia="Times New Roman" w:hAnsi="Times New Roman" w:cs="Times New Roman"/>
          <w:i/>
          <w:sz w:val="24"/>
          <w:szCs w:val="24"/>
          <w:lang w:eastAsia="lv-LV"/>
        </w:rPr>
        <w:t xml:space="preserve"> </w:t>
      </w:r>
      <w:proofErr w:type="spellStart"/>
      <w:r w:rsidRPr="00E51FB8">
        <w:rPr>
          <w:rFonts w:ascii="Times New Roman" w:eastAsia="Times New Roman" w:hAnsi="Times New Roman" w:cs="Times New Roman"/>
          <w:b/>
          <w:i/>
          <w:sz w:val="24"/>
          <w:szCs w:val="24"/>
          <w:lang w:eastAsia="lv-LV"/>
        </w:rPr>
        <w:t>euro</w:t>
      </w:r>
      <w:proofErr w:type="spellEnd"/>
      <w:r w:rsidRPr="00E51FB8">
        <w:rPr>
          <w:rFonts w:ascii="Times New Roman" w:eastAsia="Times New Roman" w:hAnsi="Times New Roman" w:cs="Times New Roman"/>
          <w:sz w:val="24"/>
          <w:szCs w:val="24"/>
          <w:lang w:eastAsia="lv-LV"/>
        </w:rPr>
        <w:t xml:space="preserve"> un izdevumi - </w:t>
      </w:r>
      <w:r w:rsidRPr="00E51FB8">
        <w:rPr>
          <w:rFonts w:ascii="Times New Roman" w:eastAsia="Times New Roman" w:hAnsi="Times New Roman" w:cs="Times New Roman"/>
          <w:b/>
          <w:sz w:val="24"/>
          <w:szCs w:val="24"/>
          <w:lang w:eastAsia="lv-LV"/>
        </w:rPr>
        <w:t xml:space="preserve">1 128 468 </w:t>
      </w:r>
      <w:proofErr w:type="spellStart"/>
      <w:r w:rsidRPr="00E51FB8">
        <w:rPr>
          <w:rFonts w:ascii="Times New Roman" w:eastAsia="Times New Roman" w:hAnsi="Times New Roman" w:cs="Times New Roman"/>
          <w:b/>
          <w:i/>
          <w:sz w:val="24"/>
          <w:szCs w:val="24"/>
          <w:lang w:eastAsia="lv-LV"/>
        </w:rPr>
        <w:t>euro</w:t>
      </w:r>
      <w:proofErr w:type="spellEnd"/>
      <w:r w:rsidRPr="00E51FB8">
        <w:rPr>
          <w:rFonts w:ascii="Times New Roman" w:eastAsia="Times New Roman" w:hAnsi="Times New Roman" w:cs="Times New Roman"/>
          <w:i/>
          <w:sz w:val="24"/>
          <w:szCs w:val="24"/>
          <w:lang w:eastAsia="lv-LV"/>
        </w:rPr>
        <w:t xml:space="preserve"> </w:t>
      </w:r>
      <w:r w:rsidRPr="00E51FB8">
        <w:rPr>
          <w:rFonts w:ascii="Times New Roman" w:eastAsia="Times New Roman" w:hAnsi="Times New Roman" w:cs="Times New Roman"/>
          <w:sz w:val="24"/>
          <w:szCs w:val="24"/>
          <w:lang w:eastAsia="lv-LV"/>
        </w:rPr>
        <w:t>(2.pielikums), t.sk. Tukuma novada Domes administrācijas 2015.gada budžeta maksas pakalpojumu ieņēmumi –</w:t>
      </w:r>
      <w:r w:rsidRPr="00E51FB8">
        <w:rPr>
          <w:rFonts w:ascii="Times New Roman" w:eastAsia="Times New Roman" w:hAnsi="Times New Roman" w:cs="Times New Roman"/>
          <w:b/>
          <w:sz w:val="24"/>
          <w:szCs w:val="24"/>
          <w:lang w:eastAsia="lv-LV"/>
        </w:rPr>
        <w:t xml:space="preserve">144 370 </w:t>
      </w:r>
      <w:proofErr w:type="spellStart"/>
      <w:r w:rsidRPr="00E51FB8">
        <w:rPr>
          <w:rFonts w:ascii="Times New Roman" w:eastAsia="Times New Roman" w:hAnsi="Times New Roman" w:cs="Times New Roman"/>
          <w:b/>
          <w:i/>
          <w:sz w:val="24"/>
          <w:szCs w:val="24"/>
          <w:lang w:eastAsia="lv-LV"/>
        </w:rPr>
        <w:t>euro</w:t>
      </w:r>
      <w:proofErr w:type="spellEnd"/>
      <w:r w:rsidRPr="00E51FB8">
        <w:rPr>
          <w:rFonts w:ascii="Times New Roman" w:eastAsia="Times New Roman" w:hAnsi="Times New Roman" w:cs="Times New Roman"/>
          <w:sz w:val="24"/>
          <w:szCs w:val="24"/>
          <w:lang w:eastAsia="lv-LV"/>
        </w:rPr>
        <w:t xml:space="preserve"> un izdevumi – </w:t>
      </w:r>
      <w:r w:rsidRPr="00E51FB8">
        <w:rPr>
          <w:rFonts w:ascii="Times New Roman" w:eastAsia="Times New Roman" w:hAnsi="Times New Roman" w:cs="Times New Roman"/>
          <w:b/>
          <w:sz w:val="24"/>
          <w:szCs w:val="24"/>
          <w:lang w:eastAsia="lv-LV"/>
        </w:rPr>
        <w:t>240 581</w:t>
      </w:r>
      <w:r w:rsidRPr="00E51FB8">
        <w:rPr>
          <w:rFonts w:ascii="Times New Roman" w:eastAsia="Times New Roman" w:hAnsi="Times New Roman" w:cs="Times New Roman"/>
          <w:sz w:val="24"/>
          <w:szCs w:val="24"/>
          <w:lang w:eastAsia="lv-LV"/>
        </w:rPr>
        <w:t xml:space="preserve"> </w:t>
      </w:r>
      <w:proofErr w:type="spellStart"/>
      <w:r w:rsidRPr="00E51FB8">
        <w:rPr>
          <w:rFonts w:ascii="Times New Roman" w:eastAsia="Times New Roman" w:hAnsi="Times New Roman" w:cs="Times New Roman"/>
          <w:b/>
          <w:i/>
          <w:sz w:val="24"/>
          <w:szCs w:val="24"/>
          <w:lang w:eastAsia="lv-LV"/>
        </w:rPr>
        <w:t>euro</w:t>
      </w:r>
      <w:proofErr w:type="spellEnd"/>
      <w:r w:rsidRPr="00E51FB8">
        <w:rPr>
          <w:rFonts w:ascii="Times New Roman" w:eastAsia="Times New Roman" w:hAnsi="Times New Roman" w:cs="Times New Roman"/>
          <w:sz w:val="24"/>
          <w:szCs w:val="24"/>
          <w:lang w:eastAsia="lv-LV"/>
        </w:rPr>
        <w:t xml:space="preserve"> (3.pielikums).</w:t>
      </w: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p>
    <w:p w:rsidR="00E67293" w:rsidRPr="00E51FB8" w:rsidRDefault="00E67293" w:rsidP="00E67293">
      <w:pPr>
        <w:spacing w:after="0" w:line="240" w:lineRule="auto"/>
        <w:ind w:firstLine="720"/>
        <w:jc w:val="both"/>
        <w:rPr>
          <w:rFonts w:ascii="Times New Roman" w:eastAsia="Times New Roman" w:hAnsi="Times New Roman" w:cs="Times New Roman"/>
          <w:b/>
          <w:sz w:val="24"/>
          <w:szCs w:val="24"/>
          <w:lang w:eastAsia="lv-LV"/>
        </w:rPr>
      </w:pPr>
      <w:r w:rsidRPr="00E51FB8">
        <w:rPr>
          <w:rFonts w:ascii="Times New Roman" w:eastAsia="Times New Roman" w:hAnsi="Times New Roman" w:cs="Times New Roman"/>
          <w:sz w:val="24"/>
          <w:szCs w:val="24"/>
          <w:lang w:eastAsia="lv-LV"/>
        </w:rPr>
        <w:t xml:space="preserve">4. Tukuma novada pašvaldības </w:t>
      </w:r>
      <w:proofErr w:type="gramStart"/>
      <w:r w:rsidRPr="00E51FB8">
        <w:rPr>
          <w:rFonts w:ascii="Times New Roman" w:eastAsia="Times New Roman" w:hAnsi="Times New Roman" w:cs="Times New Roman"/>
          <w:sz w:val="24"/>
          <w:szCs w:val="24"/>
          <w:lang w:eastAsia="lv-LV"/>
        </w:rPr>
        <w:t>2015.gada</w:t>
      </w:r>
      <w:proofErr w:type="gramEnd"/>
      <w:r w:rsidRPr="00E51FB8">
        <w:rPr>
          <w:rFonts w:ascii="Times New Roman" w:eastAsia="Times New Roman" w:hAnsi="Times New Roman" w:cs="Times New Roman"/>
          <w:sz w:val="24"/>
          <w:szCs w:val="24"/>
          <w:lang w:eastAsia="lv-LV"/>
        </w:rPr>
        <w:t xml:space="preserve"> speciālā budžeta ieņēmumi –</w:t>
      </w:r>
      <w:r w:rsidRPr="00E51FB8">
        <w:rPr>
          <w:rFonts w:ascii="Times New Roman" w:eastAsia="Times New Roman" w:hAnsi="Times New Roman" w:cs="Times New Roman"/>
          <w:b/>
          <w:i/>
          <w:sz w:val="24"/>
          <w:szCs w:val="24"/>
          <w:lang w:eastAsia="lv-LV"/>
        </w:rPr>
        <w:t xml:space="preserve"> </w:t>
      </w:r>
      <w:r w:rsidRPr="00E51FB8">
        <w:rPr>
          <w:rFonts w:ascii="Times New Roman" w:eastAsia="Times New Roman" w:hAnsi="Times New Roman" w:cs="Times New Roman"/>
          <w:b/>
          <w:sz w:val="24"/>
          <w:szCs w:val="24"/>
          <w:lang w:eastAsia="lv-LV"/>
        </w:rPr>
        <w:t xml:space="preserve">800 345 </w:t>
      </w:r>
      <w:proofErr w:type="spellStart"/>
      <w:r w:rsidRPr="00E51FB8">
        <w:rPr>
          <w:rFonts w:ascii="Times New Roman" w:eastAsia="Times New Roman" w:hAnsi="Times New Roman" w:cs="Times New Roman"/>
          <w:b/>
          <w:i/>
          <w:sz w:val="24"/>
          <w:szCs w:val="24"/>
          <w:lang w:eastAsia="lv-LV"/>
        </w:rPr>
        <w:t>euro</w:t>
      </w:r>
      <w:proofErr w:type="spellEnd"/>
      <w:r w:rsidRPr="00E51FB8">
        <w:rPr>
          <w:rFonts w:ascii="Times New Roman" w:eastAsia="Times New Roman" w:hAnsi="Times New Roman" w:cs="Times New Roman"/>
          <w:b/>
          <w:sz w:val="24"/>
          <w:szCs w:val="24"/>
          <w:lang w:eastAsia="lv-LV"/>
        </w:rPr>
        <w:t xml:space="preserve"> </w:t>
      </w:r>
      <w:r w:rsidRPr="00E51FB8">
        <w:rPr>
          <w:rFonts w:ascii="Times New Roman" w:eastAsia="Times New Roman" w:hAnsi="Times New Roman" w:cs="Times New Roman"/>
          <w:sz w:val="24"/>
          <w:szCs w:val="24"/>
          <w:lang w:eastAsia="lv-LV"/>
        </w:rPr>
        <w:t xml:space="preserve">un izdevumi – </w:t>
      </w:r>
      <w:r w:rsidRPr="00E51FB8">
        <w:rPr>
          <w:rFonts w:ascii="Times New Roman" w:eastAsia="Times New Roman" w:hAnsi="Times New Roman" w:cs="Times New Roman"/>
          <w:b/>
          <w:sz w:val="24"/>
          <w:szCs w:val="24"/>
          <w:lang w:eastAsia="lv-LV"/>
        </w:rPr>
        <w:t xml:space="preserve">1 063 961 </w:t>
      </w:r>
      <w:proofErr w:type="spellStart"/>
      <w:r w:rsidRPr="00E51FB8">
        <w:rPr>
          <w:rFonts w:ascii="Times New Roman" w:eastAsia="Times New Roman" w:hAnsi="Times New Roman" w:cs="Times New Roman"/>
          <w:b/>
          <w:i/>
          <w:sz w:val="24"/>
          <w:szCs w:val="24"/>
          <w:lang w:eastAsia="lv-LV"/>
        </w:rPr>
        <w:t>euro</w:t>
      </w:r>
      <w:proofErr w:type="spellEnd"/>
      <w:r w:rsidRPr="00E51FB8">
        <w:rPr>
          <w:rFonts w:ascii="Times New Roman" w:eastAsia="Times New Roman" w:hAnsi="Times New Roman" w:cs="Times New Roman"/>
          <w:sz w:val="24"/>
          <w:szCs w:val="24"/>
          <w:lang w:eastAsia="lv-LV"/>
        </w:rPr>
        <w:t xml:space="preserve"> (4.pielikums), naudas līdzekļu atlikums gada sākumā – </w:t>
      </w:r>
      <w:r w:rsidRPr="00E51FB8">
        <w:rPr>
          <w:rFonts w:ascii="Times New Roman" w:eastAsia="Times New Roman" w:hAnsi="Times New Roman" w:cs="Times New Roman"/>
          <w:b/>
          <w:sz w:val="24"/>
          <w:szCs w:val="24"/>
          <w:lang w:eastAsia="lv-LV"/>
        </w:rPr>
        <w:t>263 616</w:t>
      </w:r>
      <w:r w:rsidRPr="00E51FB8">
        <w:rPr>
          <w:rFonts w:ascii="Times New Roman" w:eastAsia="Times New Roman" w:hAnsi="Times New Roman" w:cs="Times New Roman"/>
          <w:b/>
          <w:i/>
          <w:sz w:val="24"/>
          <w:szCs w:val="24"/>
          <w:lang w:eastAsia="lv-LV"/>
        </w:rPr>
        <w:t xml:space="preserve"> </w:t>
      </w:r>
      <w:proofErr w:type="spellStart"/>
      <w:r w:rsidRPr="00E51FB8">
        <w:rPr>
          <w:rFonts w:ascii="Times New Roman" w:eastAsia="Times New Roman" w:hAnsi="Times New Roman" w:cs="Times New Roman"/>
          <w:b/>
          <w:i/>
          <w:sz w:val="24"/>
          <w:szCs w:val="24"/>
          <w:lang w:eastAsia="lv-LV"/>
        </w:rPr>
        <w:t>euro</w:t>
      </w:r>
      <w:proofErr w:type="spellEnd"/>
      <w:r w:rsidRPr="003D6B09">
        <w:rPr>
          <w:rFonts w:ascii="Times New Roman" w:eastAsia="Times New Roman" w:hAnsi="Times New Roman" w:cs="Times New Roman"/>
          <w:sz w:val="24"/>
          <w:szCs w:val="24"/>
          <w:lang w:eastAsia="lv-LV"/>
        </w:rPr>
        <w:t xml:space="preserve">. </w:t>
      </w:r>
    </w:p>
    <w:p w:rsidR="00E67293" w:rsidRPr="00E51FB8" w:rsidRDefault="00E67293" w:rsidP="00E67293">
      <w:pPr>
        <w:spacing w:after="0" w:line="240" w:lineRule="auto"/>
        <w:jc w:val="both"/>
        <w:rPr>
          <w:rFonts w:ascii="Times New Roman" w:eastAsia="Times New Roman" w:hAnsi="Times New Roman" w:cs="Times New Roman"/>
          <w:sz w:val="24"/>
          <w:szCs w:val="24"/>
          <w:lang w:eastAsia="lv-LV"/>
        </w:rPr>
      </w:pPr>
    </w:p>
    <w:p w:rsidR="00E67293" w:rsidRPr="00E51FB8" w:rsidRDefault="00E67293" w:rsidP="00E67293">
      <w:pPr>
        <w:spacing w:after="0" w:line="240" w:lineRule="auto"/>
        <w:ind w:firstLine="720"/>
        <w:jc w:val="both"/>
        <w:rPr>
          <w:rFonts w:ascii="Times New Roman" w:eastAsia="Times New Roman" w:hAnsi="Times New Roman" w:cs="Times New Roman"/>
          <w:b/>
          <w:sz w:val="24"/>
          <w:szCs w:val="24"/>
          <w:lang w:eastAsia="lv-LV"/>
        </w:rPr>
      </w:pPr>
      <w:r w:rsidRPr="00E51FB8">
        <w:rPr>
          <w:rFonts w:ascii="Times New Roman" w:eastAsia="Times New Roman" w:hAnsi="Times New Roman" w:cs="Times New Roman"/>
          <w:sz w:val="24"/>
          <w:szCs w:val="24"/>
          <w:lang w:eastAsia="lv-LV"/>
        </w:rPr>
        <w:t xml:space="preserve">5. Tukuma novada pašvaldības </w:t>
      </w:r>
      <w:proofErr w:type="gramStart"/>
      <w:r w:rsidRPr="00E51FB8">
        <w:rPr>
          <w:rFonts w:ascii="Times New Roman" w:eastAsia="Times New Roman" w:hAnsi="Times New Roman" w:cs="Times New Roman"/>
          <w:sz w:val="24"/>
          <w:szCs w:val="24"/>
          <w:lang w:eastAsia="lv-LV"/>
        </w:rPr>
        <w:t>2015.gada</w:t>
      </w:r>
      <w:proofErr w:type="gramEnd"/>
      <w:r w:rsidRPr="00E51FB8">
        <w:rPr>
          <w:rFonts w:ascii="Times New Roman" w:eastAsia="Times New Roman" w:hAnsi="Times New Roman" w:cs="Times New Roman"/>
          <w:sz w:val="24"/>
          <w:szCs w:val="24"/>
          <w:lang w:eastAsia="lv-LV"/>
        </w:rPr>
        <w:t xml:space="preserve"> ziedojumu un dāvinājumu ieņēmumi –</w:t>
      </w:r>
      <w:r w:rsidRPr="00E51FB8">
        <w:rPr>
          <w:rFonts w:ascii="Times New Roman" w:eastAsia="Times New Roman" w:hAnsi="Times New Roman" w:cs="Times New Roman"/>
          <w:b/>
          <w:sz w:val="24"/>
          <w:szCs w:val="24"/>
          <w:lang w:eastAsia="lv-LV"/>
        </w:rPr>
        <w:t xml:space="preserve">24 000 </w:t>
      </w:r>
      <w:proofErr w:type="spellStart"/>
      <w:r w:rsidRPr="00E51FB8">
        <w:rPr>
          <w:rFonts w:ascii="Times New Roman" w:eastAsia="Times New Roman" w:hAnsi="Times New Roman" w:cs="Times New Roman"/>
          <w:b/>
          <w:i/>
          <w:sz w:val="24"/>
          <w:szCs w:val="24"/>
          <w:lang w:eastAsia="lv-LV"/>
        </w:rPr>
        <w:t>euro</w:t>
      </w:r>
      <w:proofErr w:type="spellEnd"/>
      <w:r w:rsidRPr="00E51FB8">
        <w:rPr>
          <w:rFonts w:ascii="Times New Roman" w:eastAsia="Times New Roman" w:hAnsi="Times New Roman" w:cs="Times New Roman"/>
          <w:b/>
          <w:sz w:val="24"/>
          <w:szCs w:val="24"/>
          <w:lang w:eastAsia="lv-LV"/>
        </w:rPr>
        <w:t xml:space="preserve"> </w:t>
      </w:r>
      <w:r w:rsidRPr="00E51FB8">
        <w:rPr>
          <w:rFonts w:ascii="Times New Roman" w:eastAsia="Times New Roman" w:hAnsi="Times New Roman" w:cs="Times New Roman"/>
          <w:sz w:val="24"/>
          <w:szCs w:val="24"/>
          <w:lang w:eastAsia="lv-LV"/>
        </w:rPr>
        <w:t xml:space="preserve">un izdevumi – </w:t>
      </w:r>
      <w:r w:rsidRPr="00E51FB8">
        <w:rPr>
          <w:rFonts w:ascii="Times New Roman" w:eastAsia="Times New Roman" w:hAnsi="Times New Roman" w:cs="Times New Roman"/>
          <w:b/>
          <w:sz w:val="24"/>
          <w:szCs w:val="24"/>
          <w:lang w:eastAsia="lv-LV"/>
        </w:rPr>
        <w:t xml:space="preserve">40 777 </w:t>
      </w:r>
      <w:proofErr w:type="spellStart"/>
      <w:r w:rsidRPr="00E51FB8">
        <w:rPr>
          <w:rFonts w:ascii="Times New Roman" w:eastAsia="Times New Roman" w:hAnsi="Times New Roman" w:cs="Times New Roman"/>
          <w:b/>
          <w:i/>
          <w:sz w:val="24"/>
          <w:szCs w:val="24"/>
          <w:lang w:eastAsia="lv-LV"/>
        </w:rPr>
        <w:t>euro</w:t>
      </w:r>
      <w:proofErr w:type="spellEnd"/>
      <w:r w:rsidRPr="00E51FB8">
        <w:rPr>
          <w:rFonts w:ascii="Times New Roman" w:eastAsia="Times New Roman" w:hAnsi="Times New Roman" w:cs="Times New Roman"/>
          <w:sz w:val="24"/>
          <w:szCs w:val="24"/>
          <w:lang w:eastAsia="lv-LV"/>
        </w:rPr>
        <w:t xml:space="preserve"> (5.pielikums), naudas līdzekļu atlikums gada sākumā – </w:t>
      </w:r>
      <w:r w:rsidRPr="00E51FB8">
        <w:rPr>
          <w:rFonts w:ascii="Times New Roman" w:eastAsia="Times New Roman" w:hAnsi="Times New Roman" w:cs="Times New Roman"/>
          <w:b/>
          <w:sz w:val="24"/>
          <w:szCs w:val="24"/>
          <w:lang w:eastAsia="lv-LV"/>
        </w:rPr>
        <w:t xml:space="preserve">16 777 </w:t>
      </w:r>
      <w:proofErr w:type="spellStart"/>
      <w:r w:rsidRPr="00E51FB8">
        <w:rPr>
          <w:rFonts w:ascii="Times New Roman" w:eastAsia="Times New Roman" w:hAnsi="Times New Roman" w:cs="Times New Roman"/>
          <w:b/>
          <w:i/>
          <w:sz w:val="24"/>
          <w:szCs w:val="24"/>
          <w:lang w:eastAsia="lv-LV"/>
        </w:rPr>
        <w:t>euro</w:t>
      </w:r>
      <w:proofErr w:type="spellEnd"/>
      <w:r w:rsidRPr="00E51FB8">
        <w:rPr>
          <w:rFonts w:ascii="Times New Roman" w:eastAsia="Times New Roman" w:hAnsi="Times New Roman" w:cs="Times New Roman"/>
          <w:sz w:val="24"/>
          <w:szCs w:val="24"/>
          <w:lang w:eastAsia="lv-LV"/>
        </w:rPr>
        <w:t>.</w:t>
      </w:r>
    </w:p>
    <w:p w:rsidR="00E67293" w:rsidRPr="00E51FB8" w:rsidRDefault="00E67293" w:rsidP="00E67293">
      <w:pPr>
        <w:spacing w:after="0" w:line="240" w:lineRule="auto"/>
        <w:ind w:firstLine="720"/>
        <w:jc w:val="both"/>
        <w:rPr>
          <w:rFonts w:ascii="Times New Roman" w:eastAsia="Times New Roman" w:hAnsi="Times New Roman" w:cs="Times New Roman"/>
          <w:b/>
          <w:sz w:val="24"/>
          <w:szCs w:val="24"/>
          <w:lang w:eastAsia="lv-LV"/>
        </w:rPr>
      </w:pPr>
    </w:p>
    <w:p w:rsidR="00E67293" w:rsidRPr="00E51FB8" w:rsidRDefault="00E67293" w:rsidP="00E67293">
      <w:pPr>
        <w:spacing w:after="0" w:line="240" w:lineRule="auto"/>
        <w:ind w:firstLine="720"/>
        <w:jc w:val="both"/>
        <w:rPr>
          <w:rFonts w:ascii="Times New Roman" w:eastAsia="Times New Roman" w:hAnsi="Times New Roman" w:cs="Times New Roman"/>
          <w:b/>
          <w:sz w:val="24"/>
          <w:szCs w:val="24"/>
          <w:lang w:eastAsia="lv-LV"/>
        </w:rPr>
      </w:pPr>
      <w:r w:rsidRPr="00E51FB8">
        <w:rPr>
          <w:rFonts w:ascii="Times New Roman" w:eastAsia="Times New Roman" w:hAnsi="Times New Roman" w:cs="Times New Roman"/>
          <w:sz w:val="24"/>
          <w:szCs w:val="24"/>
          <w:lang w:eastAsia="lv-LV"/>
        </w:rPr>
        <w:t xml:space="preserve">6. Saņemto aizņēmumu neatmaksātā pamatsumma, kurai nav iestājies atmaksas termiņš uz 01.01.2015. – </w:t>
      </w:r>
      <w:r w:rsidRPr="00E51FB8">
        <w:rPr>
          <w:rFonts w:ascii="Times New Roman" w:eastAsia="Times New Roman" w:hAnsi="Times New Roman" w:cs="Times New Roman"/>
          <w:b/>
          <w:sz w:val="24"/>
          <w:szCs w:val="24"/>
          <w:lang w:eastAsia="lv-LV"/>
        </w:rPr>
        <w:t>24 194 252</w:t>
      </w:r>
      <w:r w:rsidRPr="00E51FB8">
        <w:rPr>
          <w:rFonts w:ascii="Times New Roman" w:eastAsia="Times New Roman" w:hAnsi="Times New Roman" w:cs="Times New Roman"/>
          <w:sz w:val="24"/>
          <w:szCs w:val="24"/>
          <w:lang w:eastAsia="lv-LV"/>
        </w:rPr>
        <w:t xml:space="preserve"> </w:t>
      </w:r>
      <w:proofErr w:type="spellStart"/>
      <w:r w:rsidRPr="00E51FB8">
        <w:rPr>
          <w:rFonts w:ascii="Times New Roman" w:eastAsia="Times New Roman" w:hAnsi="Times New Roman" w:cs="Times New Roman"/>
          <w:b/>
          <w:i/>
          <w:sz w:val="24"/>
          <w:szCs w:val="24"/>
          <w:lang w:eastAsia="lv-LV"/>
        </w:rPr>
        <w:t>euro</w:t>
      </w:r>
      <w:proofErr w:type="spellEnd"/>
      <w:r w:rsidRPr="00E51FB8">
        <w:rPr>
          <w:rFonts w:ascii="Times New Roman" w:eastAsia="Times New Roman" w:hAnsi="Times New Roman" w:cs="Times New Roman"/>
          <w:b/>
          <w:sz w:val="24"/>
          <w:szCs w:val="24"/>
          <w:lang w:eastAsia="lv-LV"/>
        </w:rPr>
        <w:t xml:space="preserve">  </w:t>
      </w:r>
      <w:r w:rsidRPr="00E51FB8">
        <w:rPr>
          <w:rFonts w:ascii="Times New Roman" w:eastAsia="Times New Roman" w:hAnsi="Times New Roman" w:cs="Times New Roman"/>
          <w:sz w:val="24"/>
          <w:szCs w:val="24"/>
          <w:lang w:eastAsia="lv-LV"/>
        </w:rPr>
        <w:t xml:space="preserve">un sniegto galvojumu atmaksājamo pamatsummu apjoms uz 01.01.2015. – </w:t>
      </w:r>
      <w:r w:rsidRPr="00E51FB8">
        <w:rPr>
          <w:rFonts w:ascii="Times New Roman" w:eastAsia="Times New Roman" w:hAnsi="Times New Roman" w:cs="Times New Roman"/>
          <w:b/>
          <w:sz w:val="24"/>
          <w:szCs w:val="24"/>
          <w:lang w:eastAsia="lv-LV"/>
        </w:rPr>
        <w:t>6 720 247</w:t>
      </w:r>
      <w:r w:rsidRPr="00E51FB8">
        <w:rPr>
          <w:rFonts w:ascii="Times New Roman" w:eastAsia="Times New Roman" w:hAnsi="Times New Roman" w:cs="Times New Roman"/>
          <w:sz w:val="24"/>
          <w:szCs w:val="24"/>
          <w:lang w:eastAsia="lv-LV"/>
        </w:rPr>
        <w:t xml:space="preserve"> </w:t>
      </w:r>
      <w:proofErr w:type="spellStart"/>
      <w:r w:rsidRPr="00E51FB8">
        <w:rPr>
          <w:rFonts w:ascii="Times New Roman" w:eastAsia="Times New Roman" w:hAnsi="Times New Roman" w:cs="Times New Roman"/>
          <w:b/>
          <w:i/>
          <w:sz w:val="24"/>
          <w:szCs w:val="24"/>
          <w:lang w:eastAsia="lv-LV"/>
        </w:rPr>
        <w:t>euro</w:t>
      </w:r>
      <w:proofErr w:type="spellEnd"/>
      <w:r w:rsidRPr="003D6B09">
        <w:rPr>
          <w:rFonts w:ascii="Times New Roman" w:eastAsia="Times New Roman" w:hAnsi="Times New Roman" w:cs="Times New Roman"/>
          <w:sz w:val="24"/>
          <w:szCs w:val="24"/>
          <w:lang w:eastAsia="lv-LV"/>
        </w:rPr>
        <w:t>.</w:t>
      </w: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p>
    <w:p w:rsidR="00E67293" w:rsidRPr="00E51FB8" w:rsidRDefault="00E67293" w:rsidP="00E67293">
      <w:pPr>
        <w:spacing w:after="0" w:line="240" w:lineRule="auto"/>
        <w:ind w:firstLine="720"/>
        <w:jc w:val="both"/>
        <w:rPr>
          <w:rFonts w:ascii="Times New Roman" w:eastAsia="Times New Roman" w:hAnsi="Times New Roman" w:cs="Times New Roman"/>
          <w:b/>
          <w:sz w:val="24"/>
          <w:szCs w:val="24"/>
          <w:lang w:eastAsia="lv-LV"/>
        </w:rPr>
      </w:pPr>
      <w:r w:rsidRPr="00E51FB8">
        <w:rPr>
          <w:rFonts w:ascii="Times New Roman" w:eastAsia="Times New Roman" w:hAnsi="Times New Roman" w:cs="Times New Roman"/>
          <w:sz w:val="24"/>
          <w:szCs w:val="24"/>
          <w:lang w:eastAsia="lv-LV"/>
        </w:rPr>
        <w:t xml:space="preserve">7. Plānotie ilgtermiņa aizņēmumi no Valsts kases projektu īstenošanai par summu – </w:t>
      </w:r>
      <w:r w:rsidRPr="00E51FB8">
        <w:rPr>
          <w:rFonts w:ascii="Times New Roman" w:eastAsia="Times New Roman" w:hAnsi="Times New Roman" w:cs="Times New Roman"/>
          <w:b/>
          <w:sz w:val="24"/>
          <w:szCs w:val="24"/>
          <w:lang w:eastAsia="lv-LV"/>
        </w:rPr>
        <w:t>2 448 000</w:t>
      </w:r>
      <w:r w:rsidRPr="00E51FB8">
        <w:rPr>
          <w:rFonts w:ascii="Times New Roman" w:eastAsia="Times New Roman" w:hAnsi="Times New Roman" w:cs="Times New Roman"/>
          <w:b/>
          <w:i/>
          <w:sz w:val="24"/>
          <w:szCs w:val="24"/>
          <w:lang w:eastAsia="lv-LV"/>
        </w:rPr>
        <w:t xml:space="preserve"> </w:t>
      </w:r>
      <w:proofErr w:type="spellStart"/>
      <w:r w:rsidRPr="00E51FB8">
        <w:rPr>
          <w:rFonts w:ascii="Times New Roman" w:eastAsia="Times New Roman" w:hAnsi="Times New Roman" w:cs="Times New Roman"/>
          <w:b/>
          <w:i/>
          <w:sz w:val="24"/>
          <w:szCs w:val="24"/>
          <w:lang w:eastAsia="lv-LV"/>
        </w:rPr>
        <w:t>euro</w:t>
      </w:r>
      <w:proofErr w:type="spellEnd"/>
      <w:r w:rsidRPr="00E51FB8">
        <w:rPr>
          <w:rFonts w:ascii="Times New Roman" w:eastAsia="Times New Roman" w:hAnsi="Times New Roman" w:cs="Times New Roman"/>
          <w:b/>
          <w:sz w:val="24"/>
          <w:szCs w:val="24"/>
          <w:lang w:eastAsia="lv-LV"/>
        </w:rPr>
        <w:t xml:space="preserve"> </w:t>
      </w:r>
      <w:r w:rsidRPr="00E51FB8">
        <w:rPr>
          <w:rFonts w:ascii="Times New Roman" w:eastAsia="Times New Roman" w:hAnsi="Times New Roman" w:cs="Times New Roman"/>
          <w:sz w:val="24"/>
          <w:szCs w:val="24"/>
          <w:lang w:eastAsia="lv-LV"/>
        </w:rPr>
        <w:t>(6.pielikums).</w:t>
      </w: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p>
    <w:p w:rsidR="00E67293" w:rsidRPr="00E51FB8" w:rsidRDefault="00E67293" w:rsidP="00E67293">
      <w:pPr>
        <w:spacing w:after="0" w:line="240" w:lineRule="auto"/>
        <w:jc w:val="both"/>
        <w:rPr>
          <w:rFonts w:ascii="Times New Roman" w:eastAsia="Times New Roman" w:hAnsi="Times New Roman" w:cs="Times New Roman"/>
          <w:color w:val="000000"/>
          <w:sz w:val="24"/>
          <w:szCs w:val="24"/>
          <w:lang w:eastAsia="lv-LV"/>
        </w:rPr>
      </w:pPr>
      <w:r w:rsidRPr="00E51FB8">
        <w:rPr>
          <w:rFonts w:ascii="Times New Roman" w:eastAsia="Times New Roman" w:hAnsi="Times New Roman" w:cs="Times New Roman"/>
          <w:color w:val="000000"/>
          <w:sz w:val="24"/>
          <w:szCs w:val="24"/>
          <w:lang w:eastAsia="lv-LV"/>
        </w:rPr>
        <w:tab/>
        <w:t>8. Pašvaldības mērķmaksājumi pašvaldību pasākumiem (7.pielikums).</w:t>
      </w:r>
    </w:p>
    <w:p w:rsidR="00E67293" w:rsidRPr="00E51FB8" w:rsidRDefault="00E67293" w:rsidP="00E67293">
      <w:pPr>
        <w:spacing w:after="0" w:line="240" w:lineRule="auto"/>
        <w:jc w:val="both"/>
        <w:rPr>
          <w:rFonts w:ascii="Times New Roman" w:eastAsia="Times New Roman" w:hAnsi="Times New Roman" w:cs="Times New Roman"/>
          <w:color w:val="000000"/>
          <w:sz w:val="24"/>
          <w:szCs w:val="24"/>
          <w:lang w:eastAsia="lv-LV"/>
        </w:rPr>
      </w:pPr>
      <w:r w:rsidRPr="00E51FB8">
        <w:rPr>
          <w:rFonts w:ascii="Times New Roman" w:eastAsia="Times New Roman" w:hAnsi="Times New Roman" w:cs="Times New Roman"/>
          <w:color w:val="000000"/>
          <w:sz w:val="24"/>
          <w:szCs w:val="24"/>
          <w:lang w:eastAsia="lv-LV"/>
        </w:rPr>
        <w:tab/>
        <w:t>9. Pašvaldības jaunās iniciatīvas pasākumiem (8.pielikums), Finanšu nodaļai plānot pie pašvaldības budžeta ieņēmumu palielināšanās pirms izdevumiem pašvaldību prioritāšu veikšanai.</w:t>
      </w:r>
    </w:p>
    <w:p w:rsidR="00E67293" w:rsidRPr="00E51FB8" w:rsidRDefault="00E67293" w:rsidP="00E67293">
      <w:pPr>
        <w:spacing w:after="0" w:line="240" w:lineRule="auto"/>
        <w:jc w:val="both"/>
        <w:rPr>
          <w:rFonts w:ascii="Times New Roman" w:eastAsia="Times New Roman" w:hAnsi="Times New Roman" w:cs="Times New Roman"/>
          <w:color w:val="000000"/>
          <w:sz w:val="24"/>
          <w:szCs w:val="24"/>
          <w:lang w:eastAsia="lv-LV"/>
        </w:rPr>
      </w:pPr>
    </w:p>
    <w:p w:rsidR="00E67293" w:rsidRPr="00E51FB8" w:rsidRDefault="00E67293" w:rsidP="00E67293">
      <w:pPr>
        <w:spacing w:after="0" w:line="240" w:lineRule="auto"/>
        <w:ind w:firstLine="720"/>
        <w:jc w:val="both"/>
        <w:rPr>
          <w:rFonts w:ascii="Times New Roman" w:eastAsia="Times New Roman" w:hAnsi="Times New Roman" w:cs="Times New Roman"/>
          <w:color w:val="000000"/>
          <w:sz w:val="24"/>
          <w:szCs w:val="24"/>
          <w:lang w:eastAsia="lv-LV"/>
        </w:rPr>
      </w:pPr>
      <w:r w:rsidRPr="00E51FB8">
        <w:rPr>
          <w:rFonts w:ascii="Times New Roman" w:eastAsia="Times New Roman" w:hAnsi="Times New Roman" w:cs="Times New Roman"/>
          <w:color w:val="000000"/>
          <w:sz w:val="24"/>
          <w:szCs w:val="24"/>
          <w:lang w:eastAsia="lv-LV"/>
        </w:rPr>
        <w:t>10. Valsts budžeta transferti ieņēmumi (9.pielikums).</w:t>
      </w:r>
    </w:p>
    <w:p w:rsidR="00E67293" w:rsidRPr="00E51FB8" w:rsidRDefault="00E67293" w:rsidP="00E67293">
      <w:pPr>
        <w:spacing w:after="0" w:line="240" w:lineRule="auto"/>
        <w:jc w:val="both"/>
        <w:rPr>
          <w:rFonts w:ascii="Times New Roman" w:eastAsia="Times New Roman" w:hAnsi="Times New Roman" w:cs="Times New Roman"/>
          <w:color w:val="000000"/>
          <w:sz w:val="24"/>
          <w:szCs w:val="24"/>
          <w:lang w:eastAsia="lv-LV"/>
        </w:rPr>
      </w:pPr>
    </w:p>
    <w:p w:rsidR="00E67293" w:rsidRPr="00E51FB8" w:rsidRDefault="00E67293" w:rsidP="00E67293">
      <w:pPr>
        <w:spacing w:after="0" w:line="240" w:lineRule="auto"/>
        <w:jc w:val="both"/>
        <w:rPr>
          <w:rFonts w:ascii="Times New Roman" w:eastAsia="Times New Roman" w:hAnsi="Times New Roman" w:cs="Times New Roman"/>
          <w:i/>
          <w:sz w:val="24"/>
          <w:szCs w:val="24"/>
          <w:lang w:eastAsia="lv-LV"/>
        </w:rPr>
      </w:pPr>
      <w:r w:rsidRPr="00E51FB8">
        <w:rPr>
          <w:rFonts w:ascii="Times New Roman" w:eastAsia="Times New Roman" w:hAnsi="Times New Roman" w:cs="Times New Roman"/>
          <w:color w:val="000000"/>
          <w:sz w:val="24"/>
          <w:szCs w:val="24"/>
          <w:lang w:eastAsia="lv-LV"/>
        </w:rPr>
        <w:tab/>
        <w:t>11. Saskaņā ar Tukuma novada Domes 23.12.2009. noteikumiem Nr.23 (prot.Nr.12,8.</w:t>
      </w:r>
      <w:r w:rsidRPr="00E51FB8">
        <w:rPr>
          <w:rFonts w:ascii="Times New Roman" w:eastAsia="Times New Roman" w:hAnsi="Times New Roman" w:cs="Times New Roman"/>
          <w:sz w:val="24"/>
          <w:szCs w:val="24"/>
          <w:lang w:eastAsia="lv-LV"/>
        </w:rPr>
        <w:t xml:space="preserve">§.) „Par valsts budžeta autoceļu fonda finanšu līdzekļu izlietošanas kārtību ielu un ceļu uzturēšanai Tukuma novadā”, </w:t>
      </w:r>
      <w:r w:rsidRPr="00E51FB8">
        <w:rPr>
          <w:rFonts w:ascii="Times New Roman" w:eastAsia="Times New Roman" w:hAnsi="Times New Roman" w:cs="Times New Roman"/>
          <w:color w:val="000000"/>
          <w:sz w:val="24"/>
          <w:szCs w:val="24"/>
          <w:lang w:eastAsia="lv-LV"/>
        </w:rPr>
        <w:t xml:space="preserve">noteikt, ka 2015. gadā kārtā autoceļu mērķdotācijas rezerves fonds novadā ir 13 503 </w:t>
      </w:r>
      <w:proofErr w:type="spellStart"/>
      <w:r w:rsidRPr="00E51FB8">
        <w:rPr>
          <w:rFonts w:ascii="Times New Roman" w:eastAsia="Times New Roman" w:hAnsi="Times New Roman" w:cs="Times New Roman"/>
          <w:i/>
          <w:color w:val="000000"/>
          <w:sz w:val="24"/>
          <w:szCs w:val="24"/>
          <w:lang w:eastAsia="lv-LV"/>
        </w:rPr>
        <w:t>euro</w:t>
      </w:r>
      <w:proofErr w:type="spellEnd"/>
      <w:r w:rsidRPr="00E51FB8">
        <w:rPr>
          <w:rFonts w:ascii="Times New Roman" w:eastAsia="Times New Roman" w:hAnsi="Times New Roman" w:cs="Times New Roman"/>
          <w:i/>
          <w:color w:val="000000"/>
          <w:sz w:val="24"/>
          <w:szCs w:val="24"/>
          <w:lang w:eastAsia="lv-LV"/>
        </w:rPr>
        <w:t>.</w:t>
      </w: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r w:rsidRPr="00E51FB8">
        <w:rPr>
          <w:rFonts w:ascii="Times New Roman" w:eastAsia="Times New Roman" w:hAnsi="Times New Roman" w:cs="Times New Roman"/>
          <w:sz w:val="24"/>
          <w:szCs w:val="24"/>
          <w:lang w:eastAsia="lv-LV"/>
        </w:rPr>
        <w:t>12. Par naudas līdzekļu izlietojumu un iepirkumu procedūru veikšanu atbilstoši Domē apstiprinātajam izdevumu plānam ir atbildīgi Domes nodaļu vadītāji. Nodaļu vadītāji ir atbildīgi par budžeta līdzekļu efektīvu un racionālu izlietojumu. Izdevumi pēc naudas plūsmas nedrīkst pārsniegt plānotos pašvaldības budžeta izdevumus atbilstoši ekonomiskajām kategorijām.</w:t>
      </w: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r w:rsidRPr="00E51FB8">
        <w:rPr>
          <w:rFonts w:ascii="Times New Roman" w:eastAsia="Times New Roman" w:hAnsi="Times New Roman" w:cs="Times New Roman"/>
          <w:sz w:val="24"/>
          <w:szCs w:val="24"/>
          <w:lang w:eastAsia="lv-LV"/>
        </w:rPr>
        <w:t>13. Tukuma novada pašvaldības budžeta finansēto līgumdarba samaksai avansa maksājums nedrīkst pārsniegt 20% no līguma summas, izņēmumu gadījumus saskaņojot ar pašvaldības izpilddirektoru.</w:t>
      </w: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r w:rsidRPr="00E51FB8">
        <w:rPr>
          <w:rFonts w:ascii="Times New Roman" w:eastAsia="Times New Roman" w:hAnsi="Times New Roman" w:cs="Times New Roman"/>
          <w:sz w:val="24"/>
          <w:szCs w:val="24"/>
          <w:lang w:eastAsia="lv-LV"/>
        </w:rPr>
        <w:t>14. Saimniecības un uzņēmējdarbības veicināšanas komiteja, Izglītības, kultūras un sporta komiteja un Sociālo un veselības jautājumu komiteja un Teritoriālās attīstības komiteja veic pārraudzību par līdzekļu izlietošanu attiecīgajā sfērā, gatavo priekšlikumus par izmaiņām pasākumu plānā.</w:t>
      </w: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r w:rsidRPr="00E51FB8">
        <w:rPr>
          <w:rFonts w:ascii="Times New Roman" w:eastAsia="Times New Roman" w:hAnsi="Times New Roman" w:cs="Times New Roman"/>
          <w:sz w:val="24"/>
          <w:szCs w:val="24"/>
          <w:lang w:eastAsia="lv-LV"/>
        </w:rPr>
        <w:t>15. Finanšu komiteja veic pārraudzību par visu budžeta līdzekļu izlietošanu, gatavo priekšlikumus par izmaiņām budžetā un par citu Domes komiteju iesniegumiem (atzinumiem), apstiprina līdzekļu izlietošanas kārtību, izmaiņas pasākumu plānos.</w:t>
      </w: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r w:rsidRPr="00E51FB8">
        <w:rPr>
          <w:rFonts w:ascii="Times New Roman" w:eastAsia="Times New Roman" w:hAnsi="Times New Roman" w:cs="Times New Roman"/>
          <w:sz w:val="24"/>
          <w:szCs w:val="24"/>
          <w:lang w:eastAsia="lv-LV"/>
        </w:rPr>
        <w:t>16. Naudas līdzekļi - izdevumi neparedzētiem gadījumiem izmantojami atbilstoši Domes lēmumam.</w:t>
      </w: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r w:rsidRPr="00E51FB8">
        <w:rPr>
          <w:rFonts w:ascii="Times New Roman" w:eastAsia="Times New Roman" w:hAnsi="Times New Roman" w:cs="Times New Roman"/>
          <w:sz w:val="24"/>
          <w:szCs w:val="24"/>
          <w:lang w:eastAsia="lv-LV"/>
        </w:rPr>
        <w:t>17. No Tukuma novada budžeta finansējamo iestāžu vadītāji ir atbildīgi par iestādēm piešķirto līdzekļu izmantošanu atbilst</w:t>
      </w:r>
      <w:r>
        <w:rPr>
          <w:rFonts w:ascii="Times New Roman" w:eastAsia="Times New Roman" w:hAnsi="Times New Roman" w:cs="Times New Roman"/>
          <w:sz w:val="24"/>
          <w:szCs w:val="24"/>
          <w:lang w:eastAsia="lv-LV"/>
        </w:rPr>
        <w:t>īg</w:t>
      </w:r>
      <w:r w:rsidRPr="00E51FB8">
        <w:rPr>
          <w:rFonts w:ascii="Times New Roman" w:eastAsia="Times New Roman" w:hAnsi="Times New Roman" w:cs="Times New Roman"/>
          <w:sz w:val="24"/>
          <w:szCs w:val="24"/>
          <w:lang w:eastAsia="lv-LV"/>
        </w:rPr>
        <w:t>i apstiprinātajām tāmēm. Iestādes vadītāji ir atbildīgi par budžeta līdzekļu efektīvu un racionālu izlietojumu. Izdevumi pēc naudas plūsmas nedrīkst pārsniegt plānotos pašvaldības budžeta izdevumus atbilstoši ekonomiskajām kategorijām.</w:t>
      </w: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r w:rsidRPr="00E51FB8">
        <w:rPr>
          <w:rFonts w:ascii="Times New Roman" w:eastAsia="Times New Roman" w:hAnsi="Times New Roman" w:cs="Times New Roman"/>
          <w:sz w:val="24"/>
          <w:szCs w:val="24"/>
          <w:lang w:eastAsia="lv-LV"/>
        </w:rPr>
        <w:t>Tukuma novada no pašvaldības budžeta finansēto 36 iestāžu tāmes (10.pielikums).</w:t>
      </w: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r w:rsidRPr="00E51FB8">
        <w:rPr>
          <w:rFonts w:ascii="Times New Roman" w:eastAsia="Times New Roman" w:hAnsi="Times New Roman" w:cs="Times New Roman"/>
          <w:sz w:val="24"/>
          <w:szCs w:val="24"/>
          <w:lang w:eastAsia="lv-LV"/>
        </w:rPr>
        <w:t>18. No pašvaldības budžeta plānotie asignējumi budžeta iestādēm piešķirami proporcionāli pēc pašvaldības budžeta faktiskajiem ieņēmumiem un iestāžu vadītāju pieprasījuma par plānotajiem izdevumiem divām nedēļām.</w:t>
      </w:r>
    </w:p>
    <w:p w:rsidR="00E67293" w:rsidRPr="00E51FB8" w:rsidRDefault="00E67293" w:rsidP="00E67293">
      <w:pPr>
        <w:spacing w:after="0" w:line="240" w:lineRule="auto"/>
        <w:ind w:firstLine="720"/>
        <w:jc w:val="both"/>
        <w:rPr>
          <w:rFonts w:ascii="Times New Roman" w:eastAsia="Times New Roman" w:hAnsi="Times New Roman" w:cs="Times New Roman"/>
          <w:color w:val="000000"/>
          <w:sz w:val="24"/>
          <w:szCs w:val="24"/>
          <w:lang w:eastAsia="lv-LV"/>
        </w:rPr>
      </w:pPr>
      <w:r w:rsidRPr="00E51FB8">
        <w:rPr>
          <w:rFonts w:ascii="Times New Roman" w:eastAsia="Times New Roman" w:hAnsi="Times New Roman" w:cs="Times New Roman"/>
          <w:color w:val="000000"/>
          <w:sz w:val="24"/>
          <w:szCs w:val="24"/>
          <w:lang w:eastAsia="lv-LV"/>
        </w:rPr>
        <w:t>19. Tukuma novada pašvaldības budžeta finansētajās institūcijās saņemtie un sniegtie pakalpojumi tiek uzskaitīti un regulēti ar ikmēneša (ceturkšņa) asignējumu samazinājuma (palielinājuma) finanšu instrumentu.</w:t>
      </w:r>
    </w:p>
    <w:p w:rsidR="00E67293" w:rsidRPr="00E51FB8" w:rsidRDefault="00E67293" w:rsidP="00E67293">
      <w:pPr>
        <w:autoSpaceDE w:val="0"/>
        <w:autoSpaceDN w:val="0"/>
        <w:adjustRightInd w:val="0"/>
        <w:spacing w:after="0" w:line="240" w:lineRule="auto"/>
        <w:jc w:val="both"/>
        <w:rPr>
          <w:rFonts w:ascii="Times-Roman" w:eastAsia="Times New Roman" w:hAnsi="Times-Roman" w:cs="Times-Roman"/>
          <w:sz w:val="24"/>
          <w:szCs w:val="24"/>
          <w:lang w:eastAsia="lv-LV"/>
        </w:rPr>
      </w:pPr>
      <w:r w:rsidRPr="00E51FB8">
        <w:rPr>
          <w:rFonts w:ascii="Times New Roman" w:eastAsia="Times New Roman" w:hAnsi="Times New Roman" w:cs="Times New Roman"/>
          <w:color w:val="000000"/>
          <w:sz w:val="24"/>
          <w:szCs w:val="24"/>
          <w:lang w:eastAsia="lv-LV"/>
        </w:rPr>
        <w:tab/>
        <w:t xml:space="preserve">20. </w:t>
      </w:r>
      <w:r w:rsidRPr="00E51FB8">
        <w:rPr>
          <w:rFonts w:ascii="Times-Roman" w:eastAsia="Times New Roman" w:hAnsi="Times-Roman" w:cs="Times-Roman"/>
          <w:sz w:val="24"/>
          <w:szCs w:val="24"/>
          <w:lang w:eastAsia="lv-LV"/>
        </w:rPr>
        <w:t xml:space="preserve">Tukuma novada pašvaldība galvojumu studiju un studējošā kredītiem izsniedz līdz 50 000 </w:t>
      </w:r>
      <w:proofErr w:type="spellStart"/>
      <w:r w:rsidRPr="00E51FB8">
        <w:rPr>
          <w:rFonts w:ascii="Times-Roman" w:eastAsia="Times New Roman" w:hAnsi="Times-Roman" w:cs="Times-Roman"/>
          <w:i/>
          <w:sz w:val="24"/>
          <w:szCs w:val="24"/>
          <w:lang w:eastAsia="lv-LV"/>
        </w:rPr>
        <w:t>euro</w:t>
      </w:r>
      <w:proofErr w:type="spellEnd"/>
      <w:r w:rsidRPr="00E51FB8">
        <w:rPr>
          <w:rFonts w:ascii="Times-Roman" w:eastAsia="Times New Roman" w:hAnsi="Times-Roman" w:cs="Times-Roman"/>
          <w:sz w:val="24"/>
          <w:szCs w:val="24"/>
          <w:lang w:eastAsia="lv-LV"/>
        </w:rPr>
        <w:t>.</w:t>
      </w: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r w:rsidRPr="00E51FB8">
        <w:rPr>
          <w:rFonts w:ascii="Times New Roman" w:eastAsia="Times New Roman" w:hAnsi="Times New Roman" w:cs="Times New Roman"/>
          <w:sz w:val="24"/>
          <w:szCs w:val="24"/>
          <w:lang w:eastAsia="lv-LV"/>
        </w:rPr>
        <w:t>21. Domes vai Finanšu komitejas sēžu starplaikos neatliekamās izmaiņas valdības funkciju klasifikācijas kodos un budžeta izdevumu ekonomiskās klasifikācijas kodos nosaka Domes priekšsēdētājs ar rīkojumu, izmaiņas apstiprinot nākamajā Domes sēdē.</w:t>
      </w:r>
    </w:p>
    <w:p w:rsidR="00E67293" w:rsidRPr="00E51FB8" w:rsidRDefault="00E67293" w:rsidP="00E67293">
      <w:pPr>
        <w:spacing w:after="0" w:line="240" w:lineRule="auto"/>
        <w:ind w:firstLine="720"/>
        <w:jc w:val="both"/>
        <w:rPr>
          <w:rFonts w:ascii="Times New Roman" w:eastAsia="Times New Roman" w:hAnsi="Times New Roman" w:cs="Times New Roman"/>
          <w:sz w:val="24"/>
          <w:szCs w:val="24"/>
          <w:lang w:eastAsia="lv-LV"/>
        </w:rPr>
      </w:pPr>
      <w:r w:rsidRPr="00E51FB8">
        <w:rPr>
          <w:rFonts w:ascii="Times New Roman" w:eastAsia="Times New Roman" w:hAnsi="Times New Roman" w:cs="Times New Roman"/>
          <w:sz w:val="24"/>
          <w:szCs w:val="24"/>
          <w:lang w:eastAsia="lv-LV"/>
        </w:rPr>
        <w:t xml:space="preserve">22. Saistošie noteikumi stājas spēkā </w:t>
      </w:r>
      <w:proofErr w:type="gramStart"/>
      <w:r w:rsidRPr="00E51FB8">
        <w:rPr>
          <w:rFonts w:ascii="Times New Roman" w:eastAsia="Times New Roman" w:hAnsi="Times New Roman" w:cs="Times New Roman"/>
          <w:sz w:val="24"/>
          <w:szCs w:val="24"/>
          <w:lang w:eastAsia="lv-LV"/>
        </w:rPr>
        <w:t>2015.gada</w:t>
      </w:r>
      <w:proofErr w:type="gramEnd"/>
      <w:r w:rsidRPr="00E51FB8">
        <w:rPr>
          <w:rFonts w:ascii="Times New Roman" w:eastAsia="Times New Roman" w:hAnsi="Times New Roman" w:cs="Times New Roman"/>
          <w:sz w:val="24"/>
          <w:szCs w:val="24"/>
          <w:lang w:eastAsia="lv-LV"/>
        </w:rPr>
        <w:t xml:space="preserve"> 1.janvārī.</w:t>
      </w:r>
    </w:p>
    <w:p w:rsidR="00E67293" w:rsidRDefault="00E67293" w:rsidP="00E67293">
      <w:pPr>
        <w:spacing w:after="0" w:line="240" w:lineRule="auto"/>
        <w:rPr>
          <w:rFonts w:ascii="Times New Roman" w:eastAsia="Times New Roman" w:hAnsi="Times New Roman" w:cs="Times New Roman"/>
          <w:sz w:val="24"/>
          <w:szCs w:val="20"/>
          <w:lang w:val="de-DE" w:eastAsia="lv-LV"/>
        </w:rPr>
      </w:pPr>
    </w:p>
    <w:p w:rsidR="00E67293" w:rsidRDefault="00E67293" w:rsidP="00E67293">
      <w:pPr>
        <w:spacing w:after="0" w:line="240" w:lineRule="auto"/>
        <w:rPr>
          <w:rFonts w:ascii="Times New Roman" w:eastAsia="Times New Roman" w:hAnsi="Times New Roman" w:cs="Times New Roman"/>
          <w:sz w:val="24"/>
          <w:szCs w:val="20"/>
          <w:lang w:val="de-DE" w:eastAsia="lv-LV"/>
        </w:rPr>
      </w:pPr>
    </w:p>
    <w:p w:rsidR="00E67293" w:rsidRDefault="00E67293" w:rsidP="00E67293">
      <w:pPr>
        <w:spacing w:after="0" w:line="240" w:lineRule="auto"/>
        <w:rPr>
          <w:rFonts w:ascii="Times New Roman" w:eastAsia="Times New Roman" w:hAnsi="Times New Roman" w:cs="Times New Roman"/>
          <w:sz w:val="24"/>
          <w:szCs w:val="20"/>
          <w:lang w:val="de-DE" w:eastAsia="lv-LV"/>
        </w:rPr>
      </w:pPr>
    </w:p>
    <w:p w:rsidR="00E67293" w:rsidRDefault="00E67293" w:rsidP="00E67293">
      <w:pPr>
        <w:spacing w:after="0" w:line="240" w:lineRule="auto"/>
        <w:jc w:val="both"/>
        <w:rPr>
          <w:rFonts w:ascii="Times New Roman" w:eastAsia="Times New Roman" w:hAnsi="Times New Roman" w:cs="Times New Roman"/>
          <w:sz w:val="24"/>
          <w:szCs w:val="24"/>
          <w:lang w:eastAsia="da-DK"/>
        </w:rPr>
      </w:pPr>
      <w:r w:rsidRPr="003D6B09">
        <w:rPr>
          <w:rFonts w:ascii="Times New Roman" w:eastAsia="Times New Roman" w:hAnsi="Times New Roman" w:cs="Times New Roman"/>
          <w:sz w:val="24"/>
          <w:szCs w:val="24"/>
          <w:lang w:eastAsia="da-DK"/>
        </w:rPr>
        <w:t>Domes priekšsēdētājs</w:t>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t xml:space="preserve"> </w:t>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r>
      <w:proofErr w:type="spellStart"/>
      <w:r>
        <w:rPr>
          <w:rFonts w:ascii="Times New Roman" w:eastAsia="Times New Roman" w:hAnsi="Times New Roman" w:cs="Times New Roman"/>
          <w:sz w:val="24"/>
          <w:szCs w:val="24"/>
          <w:lang w:eastAsia="da-DK"/>
        </w:rPr>
        <w:t>Ē.Lukmans</w:t>
      </w:r>
      <w:proofErr w:type="spellEnd"/>
    </w:p>
    <w:p w:rsidR="00E67293" w:rsidRPr="003D6B09" w:rsidRDefault="00E67293" w:rsidP="00E67293">
      <w:pPr>
        <w:spacing w:after="0" w:line="240" w:lineRule="auto"/>
        <w:jc w:val="both"/>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ab/>
      </w:r>
      <w:r w:rsidRPr="003D6B09">
        <w:rPr>
          <w:rFonts w:ascii="Times New Roman" w:eastAsia="Times New Roman" w:hAnsi="Times New Roman" w:cs="Times New Roman"/>
          <w:sz w:val="24"/>
          <w:szCs w:val="24"/>
          <w:lang w:eastAsia="da-DK"/>
        </w:rPr>
        <w:t xml:space="preserve"> </w:t>
      </w:r>
    </w:p>
    <w:p w:rsidR="00E67293" w:rsidRDefault="00E67293" w:rsidP="00E67293">
      <w:pPr>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br w:type="page"/>
      </w:r>
    </w:p>
    <w:p w:rsidR="00E67293" w:rsidRDefault="00E67293" w:rsidP="00E67293">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 </w:t>
      </w:r>
    </w:p>
    <w:p w:rsidR="00E67293" w:rsidRDefault="00E67293" w:rsidP="00E6729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t>Pielikums</w:t>
      </w:r>
    </w:p>
    <w:p w:rsidR="00E67293" w:rsidRDefault="00E67293" w:rsidP="00E6729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t>Tukuma novada domes 29.01.2015.</w:t>
      </w:r>
    </w:p>
    <w:p w:rsidR="00E67293" w:rsidRDefault="00E67293" w:rsidP="00E6729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t xml:space="preserve">lēmumam (prot.Nr.1, 3.§.) </w:t>
      </w:r>
    </w:p>
    <w:p w:rsidR="00E67293" w:rsidRDefault="00E67293" w:rsidP="00E67293">
      <w:pPr>
        <w:spacing w:after="0" w:line="240" w:lineRule="auto"/>
        <w:jc w:val="both"/>
        <w:rPr>
          <w:rFonts w:ascii="Times New Roman" w:eastAsia="Calibri" w:hAnsi="Times New Roman" w:cs="Times New Roman"/>
          <w:sz w:val="20"/>
          <w:szCs w:val="20"/>
        </w:rPr>
      </w:pPr>
    </w:p>
    <w:p w:rsidR="00E67293" w:rsidRPr="00564DE2" w:rsidRDefault="00E67293" w:rsidP="00E67293">
      <w:pPr>
        <w:spacing w:after="0" w:line="240" w:lineRule="auto"/>
        <w:jc w:val="both"/>
        <w:rPr>
          <w:rFonts w:ascii="Times New Roman" w:eastAsia="Calibri" w:hAnsi="Times New Roman" w:cs="Times New Roman"/>
          <w:sz w:val="20"/>
          <w:szCs w:val="20"/>
        </w:rPr>
      </w:pPr>
    </w:p>
    <w:p w:rsidR="00E67293" w:rsidRPr="00E51FB8" w:rsidRDefault="00E67293" w:rsidP="00E67293">
      <w:pPr>
        <w:spacing w:after="0" w:line="240" w:lineRule="auto"/>
        <w:jc w:val="center"/>
        <w:rPr>
          <w:rFonts w:ascii="Times New Roman" w:eastAsia="Calibri" w:hAnsi="Times New Roman" w:cs="Times New Roman"/>
          <w:b/>
          <w:sz w:val="24"/>
          <w:szCs w:val="24"/>
        </w:rPr>
      </w:pPr>
      <w:bookmarkStart w:id="0" w:name="_GoBack"/>
      <w:r w:rsidRPr="00E51FB8">
        <w:rPr>
          <w:rFonts w:ascii="Times New Roman" w:eastAsia="Calibri" w:hAnsi="Times New Roman" w:cs="Times New Roman"/>
          <w:b/>
          <w:sz w:val="24"/>
          <w:szCs w:val="24"/>
        </w:rPr>
        <w:t xml:space="preserve">Tukuma novada pašvaldības </w:t>
      </w:r>
      <w:proofErr w:type="gramStart"/>
      <w:r w:rsidRPr="00E51FB8">
        <w:rPr>
          <w:rFonts w:ascii="Times New Roman" w:eastAsia="Calibri" w:hAnsi="Times New Roman" w:cs="Times New Roman"/>
          <w:b/>
          <w:sz w:val="24"/>
          <w:szCs w:val="24"/>
        </w:rPr>
        <w:t>2015.gada</w:t>
      </w:r>
      <w:proofErr w:type="gramEnd"/>
      <w:r w:rsidRPr="00E51FB8">
        <w:rPr>
          <w:rFonts w:ascii="Times New Roman" w:eastAsia="Calibri" w:hAnsi="Times New Roman" w:cs="Times New Roman"/>
          <w:b/>
          <w:sz w:val="24"/>
          <w:szCs w:val="24"/>
        </w:rPr>
        <w:t xml:space="preserve"> budžeta </w:t>
      </w:r>
      <w:r>
        <w:rPr>
          <w:rFonts w:ascii="Times New Roman" w:eastAsia="Calibri" w:hAnsi="Times New Roman" w:cs="Times New Roman"/>
          <w:b/>
          <w:sz w:val="24"/>
          <w:szCs w:val="24"/>
        </w:rPr>
        <w:t>p</w:t>
      </w:r>
      <w:r w:rsidRPr="00E51FB8">
        <w:rPr>
          <w:rFonts w:ascii="Times New Roman" w:eastAsia="Calibri" w:hAnsi="Times New Roman" w:cs="Times New Roman"/>
          <w:b/>
          <w:sz w:val="24"/>
          <w:szCs w:val="24"/>
        </w:rPr>
        <w:t>askaidrojuma raksts</w:t>
      </w:r>
    </w:p>
    <w:bookmarkEnd w:id="0"/>
    <w:p w:rsidR="00E67293" w:rsidRDefault="00E67293" w:rsidP="00E67293">
      <w:pPr>
        <w:spacing w:after="0" w:line="240" w:lineRule="auto"/>
        <w:ind w:firstLine="720"/>
        <w:jc w:val="both"/>
        <w:rPr>
          <w:rFonts w:ascii="Times New Roman" w:eastAsia="Calibri" w:hAnsi="Times New Roman" w:cs="Times New Roman"/>
          <w:sz w:val="24"/>
          <w:szCs w:val="24"/>
        </w:rPr>
      </w:pPr>
    </w:p>
    <w:p w:rsidR="00E67293" w:rsidRPr="00E51FB8" w:rsidRDefault="00E67293" w:rsidP="00E67293">
      <w:pPr>
        <w:spacing w:after="0" w:line="240" w:lineRule="auto"/>
        <w:ind w:firstLine="720"/>
        <w:jc w:val="both"/>
        <w:rPr>
          <w:rFonts w:ascii="Times New Roman" w:eastAsia="Calibri" w:hAnsi="Times New Roman" w:cs="Times New Roman"/>
          <w:sz w:val="24"/>
          <w:szCs w:val="24"/>
        </w:rPr>
      </w:pPr>
    </w:p>
    <w:p w:rsidR="00E67293" w:rsidRPr="00E51FB8" w:rsidRDefault="00E67293" w:rsidP="00E67293">
      <w:pPr>
        <w:spacing w:after="0" w:line="240" w:lineRule="auto"/>
        <w:ind w:firstLine="720"/>
        <w:jc w:val="both"/>
        <w:rPr>
          <w:rFonts w:ascii="Times New Roman" w:eastAsia="Calibri" w:hAnsi="Times New Roman" w:cs="Times New Roman"/>
          <w:i/>
          <w:sz w:val="24"/>
          <w:szCs w:val="24"/>
        </w:rPr>
      </w:pPr>
      <w:r w:rsidRPr="00E51FB8">
        <w:rPr>
          <w:rFonts w:ascii="Times New Roman" w:eastAsia="Calibri" w:hAnsi="Times New Roman" w:cs="Times New Roman"/>
          <w:i/>
          <w:sz w:val="24"/>
          <w:szCs w:val="24"/>
        </w:rPr>
        <w:t>1. Novada ekonomiskā un sociālā situācija, pašvaldības uzdevumi saimnieciskajā gadā un trijos turpmākajos.</w:t>
      </w:r>
    </w:p>
    <w:p w:rsidR="00E67293" w:rsidRPr="00E51FB8" w:rsidRDefault="00E67293" w:rsidP="00E67293">
      <w:pPr>
        <w:spacing w:after="0" w:line="240" w:lineRule="auto"/>
        <w:rPr>
          <w:rFonts w:ascii="Times New Roman" w:eastAsia="Calibri" w:hAnsi="Times New Roman" w:cs="Times New Roman"/>
          <w:sz w:val="24"/>
          <w:szCs w:val="24"/>
        </w:rPr>
      </w:pPr>
      <w:r w:rsidRPr="00E51FB8">
        <w:rPr>
          <w:rFonts w:ascii="Times New Roman" w:eastAsia="Calibri" w:hAnsi="Times New Roman" w:cs="Times New Roman"/>
          <w:sz w:val="24"/>
          <w:szCs w:val="24"/>
        </w:rPr>
        <w:tab/>
        <w:t xml:space="preserve">Tukuma novada pašvaldības </w:t>
      </w:r>
      <w:proofErr w:type="gramStart"/>
      <w:r w:rsidRPr="00E51FB8">
        <w:rPr>
          <w:rFonts w:ascii="Times New Roman" w:eastAsia="Calibri" w:hAnsi="Times New Roman" w:cs="Times New Roman"/>
          <w:sz w:val="24"/>
          <w:szCs w:val="24"/>
        </w:rPr>
        <w:t>2015.gada</w:t>
      </w:r>
      <w:proofErr w:type="gramEnd"/>
      <w:r w:rsidRPr="00E51FB8">
        <w:rPr>
          <w:rFonts w:ascii="Times New Roman" w:eastAsia="Calibri" w:hAnsi="Times New Roman" w:cs="Times New Roman"/>
          <w:sz w:val="24"/>
          <w:szCs w:val="24"/>
        </w:rPr>
        <w:t xml:space="preserve"> budžets izstrādāts, ievērojot likumā „Par pašvaldību budžetiem”, likumā „Par pašvaldībām”, likumā „Par budžetu un finanšu vadību”, likumā „Par valsts budžetu 2015.gadam”, kā arī nodokļu likumos, Ministru kabineta noteikumos un citos normatīvajos aktos paredzētās prasības. Budžets ir izstrādāts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i/>
          <w:sz w:val="24"/>
          <w:szCs w:val="24"/>
        </w:rPr>
        <w:t>.</w:t>
      </w:r>
      <w:r w:rsidRPr="00E51FB8">
        <w:rPr>
          <w:rFonts w:ascii="Times New Roman" w:eastAsia="Calibri" w:hAnsi="Times New Roman" w:cs="Times New Roman"/>
          <w:sz w:val="24"/>
          <w:szCs w:val="24"/>
        </w:rPr>
        <w:t xml:space="preserve"> </w:t>
      </w:r>
    </w:p>
    <w:p w:rsidR="00E67293" w:rsidRPr="00E51FB8" w:rsidRDefault="00E67293" w:rsidP="00E67293">
      <w:pPr>
        <w:spacing w:after="0" w:line="240" w:lineRule="auto"/>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 xml:space="preserve">Deputātu vērtējumam ir iesniegts sabalansēts </w:t>
      </w:r>
      <w:proofErr w:type="gramStart"/>
      <w:r w:rsidRPr="00E51FB8">
        <w:rPr>
          <w:rFonts w:ascii="Times New Roman" w:eastAsia="Calibri" w:hAnsi="Times New Roman" w:cs="Times New Roman"/>
          <w:sz w:val="24"/>
          <w:szCs w:val="24"/>
        </w:rPr>
        <w:t>2015.gada</w:t>
      </w:r>
      <w:proofErr w:type="gramEnd"/>
      <w:r w:rsidRPr="00E51FB8">
        <w:rPr>
          <w:rFonts w:ascii="Times New Roman" w:eastAsia="Calibri" w:hAnsi="Times New Roman" w:cs="Times New Roman"/>
          <w:sz w:val="24"/>
          <w:szCs w:val="24"/>
        </w:rPr>
        <w:t xml:space="preserve"> Tukuma novada pašvaldības budžets. Tas ir dokuments, kurš atspoguļo pašvaldības politiku un prioritātes skaitliskā izteiksmē. Tukuma novada pašvaldības </w:t>
      </w:r>
      <w:proofErr w:type="gramStart"/>
      <w:r w:rsidRPr="00E51FB8">
        <w:rPr>
          <w:rFonts w:ascii="Times New Roman" w:eastAsia="Calibri" w:hAnsi="Times New Roman" w:cs="Times New Roman"/>
          <w:sz w:val="24"/>
          <w:szCs w:val="24"/>
        </w:rPr>
        <w:t>2015.gada</w:t>
      </w:r>
      <w:proofErr w:type="gramEnd"/>
      <w:r w:rsidRPr="00E51FB8">
        <w:rPr>
          <w:rFonts w:ascii="Times New Roman" w:eastAsia="Calibri" w:hAnsi="Times New Roman" w:cs="Times New Roman"/>
          <w:sz w:val="24"/>
          <w:szCs w:val="24"/>
        </w:rPr>
        <w:t xml:space="preserve"> budžeta ieņēmumu noteikšanas pamatprincipi paredz piesardzīgu vērtējumu par ekonomiskās situācijas attīstību. Tukuma novada pašvaldības budžets sastāv no pamatbudžeta, speciālā budžeta un ziedojumu budžeta. Speciālo budžetu veido Autoceļa fonda ieņēmumu un dabas resursa nodokļa ieņēmumi (pašvaldības daļa).</w:t>
      </w:r>
    </w:p>
    <w:p w:rsidR="00E67293" w:rsidRPr="00E51FB8" w:rsidRDefault="00E67293" w:rsidP="00E67293">
      <w:pPr>
        <w:spacing w:after="0" w:line="240" w:lineRule="auto"/>
        <w:ind w:firstLine="720"/>
        <w:jc w:val="both"/>
        <w:rPr>
          <w:rFonts w:ascii="Times New Roman" w:eastAsia="Calibri" w:hAnsi="Times New Roman" w:cs="Times New Roman"/>
          <w:sz w:val="24"/>
          <w:szCs w:val="24"/>
        </w:rPr>
      </w:pPr>
      <w:proofErr w:type="gramStart"/>
      <w:r w:rsidRPr="00E51FB8">
        <w:rPr>
          <w:rFonts w:ascii="Times New Roman" w:eastAsia="Calibri" w:hAnsi="Times New Roman" w:cs="Times New Roman"/>
          <w:sz w:val="24"/>
          <w:szCs w:val="24"/>
        </w:rPr>
        <w:t>2015.gadā</w:t>
      </w:r>
      <w:proofErr w:type="gramEnd"/>
      <w:r w:rsidRPr="00E51FB8">
        <w:rPr>
          <w:rFonts w:ascii="Times New Roman" w:eastAsia="Calibri" w:hAnsi="Times New Roman" w:cs="Times New Roman"/>
          <w:sz w:val="24"/>
          <w:szCs w:val="24"/>
        </w:rPr>
        <w:t xml:space="preserve"> novada infrastruktūras un ekonomiskā attīstība ir plānota, īstenojot Eiropas Savienības finansētos projektus, kā arī nosakot budžetā finansējumu mērķmaksājumiem un noteiktu objektu rekonstrukcijai un būvniecībai ar budžeta un aizņēmuma līdzekļiem.</w:t>
      </w:r>
    </w:p>
    <w:p w:rsidR="00E67293" w:rsidRPr="00E51FB8" w:rsidRDefault="00E67293" w:rsidP="00E67293">
      <w:pPr>
        <w:spacing w:after="0" w:line="240" w:lineRule="auto"/>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ab/>
      </w:r>
    </w:p>
    <w:p w:rsidR="00E67293" w:rsidRPr="00E51FB8" w:rsidRDefault="00E67293" w:rsidP="00E67293">
      <w:pPr>
        <w:spacing w:after="0" w:line="240" w:lineRule="auto"/>
        <w:jc w:val="both"/>
        <w:rPr>
          <w:rFonts w:ascii="Times New Roman" w:eastAsia="Calibri" w:hAnsi="Times New Roman" w:cs="Times New Roman"/>
          <w:b/>
          <w:sz w:val="24"/>
          <w:szCs w:val="24"/>
        </w:rPr>
      </w:pPr>
      <w:r w:rsidRPr="00E51FB8">
        <w:rPr>
          <w:rFonts w:ascii="Times New Roman" w:eastAsia="Calibri" w:hAnsi="Times New Roman" w:cs="Times New Roman"/>
          <w:sz w:val="24"/>
          <w:szCs w:val="24"/>
        </w:rPr>
        <w:tab/>
      </w:r>
      <w:r w:rsidRPr="00E51FB8">
        <w:rPr>
          <w:rFonts w:ascii="Times New Roman" w:eastAsia="Calibri" w:hAnsi="Times New Roman" w:cs="Times New Roman"/>
          <w:b/>
          <w:sz w:val="24"/>
          <w:szCs w:val="24"/>
        </w:rPr>
        <w:t>Tukuma novada pašvaldības pamatbudžets</w:t>
      </w:r>
    </w:p>
    <w:p w:rsidR="00E67293" w:rsidRPr="00E51FB8" w:rsidRDefault="00E67293" w:rsidP="00E67293">
      <w:pPr>
        <w:spacing w:after="0" w:line="240" w:lineRule="auto"/>
        <w:jc w:val="both"/>
        <w:rPr>
          <w:rFonts w:ascii="Times New Roman" w:eastAsia="Calibri" w:hAnsi="Times New Roman" w:cs="Times New Roman"/>
          <w:b/>
          <w:sz w:val="24"/>
          <w:szCs w:val="24"/>
        </w:rPr>
      </w:pPr>
      <w:r w:rsidRPr="00E51FB8">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sidRPr="00E51FB8">
        <w:rPr>
          <w:rFonts w:ascii="Times New Roman" w:eastAsia="Calibri" w:hAnsi="Times New Roman" w:cs="Times New Roman"/>
          <w:b/>
          <w:sz w:val="24"/>
          <w:szCs w:val="24"/>
        </w:rPr>
        <w:t>Ieņēmumi</w:t>
      </w:r>
    </w:p>
    <w:p w:rsidR="00E67293" w:rsidRPr="00E51FB8" w:rsidRDefault="00E67293" w:rsidP="00E67293">
      <w:pPr>
        <w:spacing w:after="0" w:line="240" w:lineRule="auto"/>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ab/>
        <w:t xml:space="preserve">Tukuma novada pašvaldības </w:t>
      </w:r>
      <w:proofErr w:type="gramStart"/>
      <w:r w:rsidRPr="00E51FB8">
        <w:rPr>
          <w:rFonts w:ascii="Times New Roman" w:eastAsia="Calibri" w:hAnsi="Times New Roman" w:cs="Times New Roman"/>
          <w:sz w:val="24"/>
          <w:szCs w:val="24"/>
        </w:rPr>
        <w:t>2015.gada</w:t>
      </w:r>
      <w:proofErr w:type="gramEnd"/>
      <w:r w:rsidRPr="00E51FB8">
        <w:rPr>
          <w:rFonts w:ascii="Times New Roman" w:eastAsia="Calibri" w:hAnsi="Times New Roman" w:cs="Times New Roman"/>
          <w:sz w:val="24"/>
          <w:szCs w:val="24"/>
        </w:rPr>
        <w:t xml:space="preserve"> ieņēmi ir plānoti 28 662 125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Plānotie ieņēmumi ir par 3.1% vairāk kā </w:t>
      </w:r>
      <w:proofErr w:type="gramStart"/>
      <w:r w:rsidRPr="00E51FB8">
        <w:rPr>
          <w:rFonts w:ascii="Times New Roman" w:eastAsia="Calibri" w:hAnsi="Times New Roman" w:cs="Times New Roman"/>
          <w:sz w:val="24"/>
          <w:szCs w:val="24"/>
        </w:rPr>
        <w:t>2014.gadā</w:t>
      </w:r>
      <w:proofErr w:type="gramEnd"/>
      <w:r w:rsidRPr="00E51FB8">
        <w:rPr>
          <w:rFonts w:ascii="Times New Roman" w:eastAsia="Calibri" w:hAnsi="Times New Roman" w:cs="Times New Roman"/>
          <w:sz w:val="24"/>
          <w:szCs w:val="24"/>
        </w:rPr>
        <w:t xml:space="preserve"> sākotnēji plānotie (27 797 416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Pašvaldības pamatbudžetu ieņēmumus veido nodokļu un nenodokļu ieņēmumi, maksas pakalpojumi un citi pašu ieņēmumi, valsts mērķdotācijas un citu budžetu transferti. </w:t>
      </w:r>
    </w:p>
    <w:p w:rsidR="00E67293" w:rsidRPr="00E51FB8" w:rsidRDefault="00E67293" w:rsidP="00E67293">
      <w:pPr>
        <w:spacing w:after="0" w:line="240" w:lineRule="auto"/>
        <w:ind w:firstLine="720"/>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 xml:space="preserve">Nodokļu ieņēmumi ir galvenais pašvaldības ieņēmumu avots. Lielākais īpatsvars nodokļu ieņēmumos ir iedzīvotāju ienākuma nodoklis 13 829 771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(48%), salīdzinājumā ar </w:t>
      </w:r>
      <w:proofErr w:type="gramStart"/>
      <w:r w:rsidRPr="00E51FB8">
        <w:rPr>
          <w:rFonts w:ascii="Times New Roman" w:eastAsia="Calibri" w:hAnsi="Times New Roman" w:cs="Times New Roman"/>
          <w:sz w:val="24"/>
          <w:szCs w:val="24"/>
        </w:rPr>
        <w:t>2014.gadu</w:t>
      </w:r>
      <w:proofErr w:type="gramEnd"/>
      <w:r w:rsidRPr="00E51FB8">
        <w:rPr>
          <w:rFonts w:ascii="Times New Roman" w:eastAsia="Calibri" w:hAnsi="Times New Roman" w:cs="Times New Roman"/>
          <w:sz w:val="24"/>
          <w:szCs w:val="24"/>
        </w:rPr>
        <w:t xml:space="preserve"> pieaugums ir 5.9% (764696). Iedzīvotāju ienākuma nodokļa prognoze ir noteikta, ka pašvaldību īpatsvars iedzīvotāju ienākuma nodokļa sadalē netiek mainīts salīdzinājumā ar </w:t>
      </w:r>
      <w:proofErr w:type="gramStart"/>
      <w:r w:rsidRPr="00E51FB8">
        <w:rPr>
          <w:rFonts w:ascii="Times New Roman" w:eastAsia="Calibri" w:hAnsi="Times New Roman" w:cs="Times New Roman"/>
          <w:sz w:val="24"/>
          <w:szCs w:val="24"/>
        </w:rPr>
        <w:t>2014.gadu</w:t>
      </w:r>
      <w:proofErr w:type="gramEnd"/>
      <w:r w:rsidRPr="00E51FB8">
        <w:rPr>
          <w:rFonts w:ascii="Times New Roman" w:eastAsia="Calibri" w:hAnsi="Times New Roman" w:cs="Times New Roman"/>
          <w:sz w:val="24"/>
          <w:szCs w:val="24"/>
        </w:rPr>
        <w:t xml:space="preserve"> – 80% pašvaldību budžetos un 20% valsts budžetā. Saskaņā ar nekustamā īpašuma nodokļa prognozi pašvaldības budžeta īpašuma nodokļa ieņēmumi pieaugs par 5 % (77241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Šī nodokļa ieņēmumu prognozi </w:t>
      </w:r>
      <w:proofErr w:type="gramStart"/>
      <w:r w:rsidRPr="00E51FB8">
        <w:rPr>
          <w:rFonts w:ascii="Times New Roman" w:eastAsia="Calibri" w:hAnsi="Times New Roman" w:cs="Times New Roman"/>
          <w:sz w:val="24"/>
          <w:szCs w:val="24"/>
        </w:rPr>
        <w:t>2015.gadā</w:t>
      </w:r>
      <w:proofErr w:type="gramEnd"/>
      <w:r w:rsidRPr="00E51FB8">
        <w:rPr>
          <w:rFonts w:ascii="Times New Roman" w:eastAsia="Calibri" w:hAnsi="Times New Roman" w:cs="Times New Roman"/>
          <w:sz w:val="24"/>
          <w:szCs w:val="24"/>
        </w:rPr>
        <w:t xml:space="preserve"> noteiktais </w:t>
      </w:r>
      <w:proofErr w:type="spellStart"/>
      <w:r w:rsidRPr="00E51FB8">
        <w:rPr>
          <w:rFonts w:ascii="Times New Roman" w:eastAsia="Calibri" w:hAnsi="Times New Roman" w:cs="Times New Roman"/>
          <w:sz w:val="24"/>
          <w:szCs w:val="24"/>
        </w:rPr>
        <w:t>iekasējamības</w:t>
      </w:r>
      <w:proofErr w:type="spellEnd"/>
      <w:r w:rsidRPr="00E51FB8">
        <w:rPr>
          <w:rFonts w:ascii="Times New Roman" w:eastAsia="Calibri" w:hAnsi="Times New Roman" w:cs="Times New Roman"/>
          <w:sz w:val="24"/>
          <w:szCs w:val="24"/>
        </w:rPr>
        <w:t xml:space="preserve"> koeficients ir 80%. Parādus par nekustamā īpašuma nodokli tiek plānots iekasēt 60% (125 000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no aprēķinātā parāda. Azartspēļu nodoklis plānots 97000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apmērā, samazinājums pret </w:t>
      </w:r>
      <w:proofErr w:type="gramStart"/>
      <w:r w:rsidRPr="00E51FB8">
        <w:rPr>
          <w:rFonts w:ascii="Times New Roman" w:eastAsia="Calibri" w:hAnsi="Times New Roman" w:cs="Times New Roman"/>
          <w:sz w:val="24"/>
          <w:szCs w:val="24"/>
        </w:rPr>
        <w:t>2014.gada</w:t>
      </w:r>
      <w:proofErr w:type="gramEnd"/>
      <w:r w:rsidRPr="00E51FB8">
        <w:rPr>
          <w:rFonts w:ascii="Times New Roman" w:eastAsia="Calibri" w:hAnsi="Times New Roman" w:cs="Times New Roman"/>
          <w:sz w:val="24"/>
          <w:szCs w:val="24"/>
        </w:rPr>
        <w:t xml:space="preserve"> sākotnējo plānu 1 % (9715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i/>
          <w:sz w:val="24"/>
          <w:szCs w:val="24"/>
        </w:rPr>
        <w:t>)</w:t>
      </w:r>
      <w:r w:rsidRPr="00E51FB8">
        <w:rPr>
          <w:rFonts w:ascii="Times New Roman" w:eastAsia="Calibri" w:hAnsi="Times New Roman" w:cs="Times New Roman"/>
          <w:sz w:val="24"/>
          <w:szCs w:val="24"/>
        </w:rPr>
        <w:t>.</w:t>
      </w:r>
    </w:p>
    <w:p w:rsidR="00E67293" w:rsidRPr="00E51FB8" w:rsidRDefault="00E67293" w:rsidP="00E67293">
      <w:pPr>
        <w:spacing w:after="0" w:line="240" w:lineRule="auto"/>
        <w:ind w:right="57"/>
        <w:rPr>
          <w:rFonts w:ascii="Times New Roman" w:eastAsia="Calibri" w:hAnsi="Times New Roman" w:cs="Times New Roman"/>
          <w:sz w:val="24"/>
          <w:szCs w:val="24"/>
        </w:rPr>
      </w:pPr>
    </w:p>
    <w:p w:rsidR="00E67293" w:rsidRPr="00E51FB8" w:rsidRDefault="00E67293" w:rsidP="00E67293">
      <w:pPr>
        <w:spacing w:after="0" w:line="240" w:lineRule="auto"/>
        <w:ind w:right="57" w:firstLine="720"/>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 xml:space="preserve">Nenodokļu ieņēmumus </w:t>
      </w:r>
      <w:proofErr w:type="gramStart"/>
      <w:r w:rsidRPr="00E51FB8">
        <w:rPr>
          <w:rFonts w:ascii="Times New Roman" w:eastAsia="Calibri" w:hAnsi="Times New Roman" w:cs="Times New Roman"/>
          <w:sz w:val="24"/>
          <w:szCs w:val="24"/>
        </w:rPr>
        <w:t>2015.gadā</w:t>
      </w:r>
      <w:proofErr w:type="gramEnd"/>
      <w:r w:rsidRPr="00E51FB8">
        <w:rPr>
          <w:rFonts w:ascii="Times New Roman" w:eastAsia="Calibri" w:hAnsi="Times New Roman" w:cs="Times New Roman"/>
          <w:sz w:val="24"/>
          <w:szCs w:val="24"/>
        </w:rPr>
        <w:t xml:space="preserve"> plānots iekasēt 305 150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apmērā. Šos ieņēmumus veido procentu ieņēmumi no kontu atlikumiem, valsts un pašvaldību nodevas, naudas sodu un sankcijas, kā arī ieņēmumi no īpašumu pārdošanas. Salīdzinājumā ar </w:t>
      </w:r>
      <w:proofErr w:type="gramStart"/>
      <w:r w:rsidRPr="00E51FB8">
        <w:rPr>
          <w:rFonts w:ascii="Times New Roman" w:eastAsia="Calibri" w:hAnsi="Times New Roman" w:cs="Times New Roman"/>
          <w:sz w:val="24"/>
          <w:szCs w:val="24"/>
        </w:rPr>
        <w:t>2014.gadu</w:t>
      </w:r>
      <w:proofErr w:type="gramEnd"/>
      <w:r w:rsidRPr="00E51FB8">
        <w:rPr>
          <w:rFonts w:ascii="Times New Roman" w:eastAsia="Calibri" w:hAnsi="Times New Roman" w:cs="Times New Roman"/>
          <w:sz w:val="24"/>
          <w:szCs w:val="24"/>
        </w:rPr>
        <w:t xml:space="preserve"> šeit ir plānots ieņēmumu pieaugums par 27 120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jo tiek plānots atsavināt pašvaldības īpašumus (cirsmas, zemi).</w:t>
      </w:r>
    </w:p>
    <w:p w:rsidR="00E67293" w:rsidRPr="00E51FB8" w:rsidRDefault="00E67293" w:rsidP="00E67293">
      <w:pPr>
        <w:spacing w:after="0" w:line="240" w:lineRule="auto"/>
        <w:ind w:firstLine="720"/>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 xml:space="preserve">Ieņēmumi no maksas pakalpojumiem un citi pašu ieņēmumi plānoti 879 425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Salīdzinājumā ar 2014. gadu maksas pakalpojumi un citi pašu ieņēmumi ir samazinājušies par 132 769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jo 2015. gadā netiek plānoti ieņēmumi no īres un komunālo pakalpojumu maksām no Slampes un Džūkstes pagastu pārvaldes, jo pārvaldes komunālā apsaimniekošana nodota SIA “</w:t>
      </w:r>
      <w:proofErr w:type="spellStart"/>
      <w:r w:rsidRPr="00E51FB8">
        <w:rPr>
          <w:rFonts w:ascii="Times New Roman" w:eastAsia="Calibri" w:hAnsi="Times New Roman" w:cs="Times New Roman"/>
          <w:sz w:val="24"/>
          <w:szCs w:val="24"/>
        </w:rPr>
        <w:t>Komunālserviss</w:t>
      </w:r>
      <w:proofErr w:type="spellEnd"/>
      <w:r w:rsidRPr="00E51FB8">
        <w:rPr>
          <w:rFonts w:ascii="Times New Roman" w:eastAsia="Calibri" w:hAnsi="Times New Roman" w:cs="Times New Roman"/>
          <w:sz w:val="24"/>
          <w:szCs w:val="24"/>
        </w:rPr>
        <w:t xml:space="preserve"> Tilde” pārvaldībā.</w:t>
      </w:r>
    </w:p>
    <w:p w:rsidR="00E67293" w:rsidRPr="00E51FB8" w:rsidRDefault="00E67293" w:rsidP="00E67293">
      <w:pPr>
        <w:spacing w:after="0" w:line="240" w:lineRule="auto"/>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ab/>
        <w:t xml:space="preserve">Valsts budžeta transferti – mērķdotācijas un dotācijas 2015. gadā plānotas 11 521 529 (40 % no ieņēmumiem). Transferti plānoti par 1.1% vairāk (122 897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Valsts budžeta transfertu apjoms </w:t>
      </w:r>
      <w:proofErr w:type="gramStart"/>
      <w:r w:rsidRPr="00E51FB8">
        <w:rPr>
          <w:rFonts w:ascii="Times New Roman" w:eastAsia="Calibri" w:hAnsi="Times New Roman" w:cs="Times New Roman"/>
          <w:sz w:val="24"/>
          <w:szCs w:val="24"/>
        </w:rPr>
        <w:lastRenderedPageBreak/>
        <w:t>2015.gadā</w:t>
      </w:r>
      <w:proofErr w:type="gramEnd"/>
      <w:r w:rsidRPr="00E51FB8">
        <w:rPr>
          <w:rFonts w:ascii="Times New Roman" w:eastAsia="Calibri" w:hAnsi="Times New Roman" w:cs="Times New Roman"/>
          <w:sz w:val="24"/>
          <w:szCs w:val="24"/>
        </w:rPr>
        <w:t xml:space="preserve"> ir plānots, ņemot vērā 2015.gada valsts budžetā paredzēto finansējumu, spēkā esošos normatīvos aktus (Ministru kabineta 2012.gada 18.decembra noteikumi Nr.942 „Kārtība, kādā piešķir un finansē asistenta pakalpojumu pašvaldībā”, Ministru kabineta 2012.gada 25.septembra noteikumi Nr.670 „Kārtība, kādā pašvaldībām tiek aprēķināta un sadalīta valsts budžeta mērķdotācija māksliniecisko kolektīvu vadītāju darba samaksai un valsts sociālās apdrošināšanas obligātajām iemaksām”, noslēgtos līgumus par Eiropas Savienības fondu apguvi. </w:t>
      </w:r>
      <w:r w:rsidRPr="00E51FB8">
        <w:rPr>
          <w:rFonts w:ascii="Times New Roman" w:eastAsia="Calibri" w:hAnsi="Times New Roman" w:cs="Times New Roman"/>
          <w:sz w:val="24"/>
          <w:szCs w:val="24"/>
        </w:rPr>
        <w:tab/>
        <w:t xml:space="preserve">Pašvaldību budžeta transferta ieņēmumi ir plānoti par savstarpējiem norēķiniem par izglītības (367 650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kultūras, sporta, kultūras un tūrisma un aprūpes funkciju nodrošināšanas pakalpojumiem (47 981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i/>
          <w:sz w:val="24"/>
          <w:szCs w:val="24"/>
        </w:rPr>
        <w:t>)</w:t>
      </w:r>
      <w:r w:rsidRPr="00E51FB8">
        <w:rPr>
          <w:rFonts w:ascii="Times New Roman" w:eastAsia="Calibri" w:hAnsi="Times New Roman" w:cs="Times New Roman"/>
          <w:sz w:val="24"/>
          <w:szCs w:val="24"/>
        </w:rPr>
        <w:t>.</w:t>
      </w:r>
    </w:p>
    <w:p w:rsidR="00E67293" w:rsidRPr="00E51FB8" w:rsidRDefault="00E67293" w:rsidP="00E67293">
      <w:pPr>
        <w:spacing w:after="0" w:line="240" w:lineRule="auto"/>
        <w:jc w:val="both"/>
        <w:rPr>
          <w:rFonts w:ascii="Times New Roman" w:eastAsia="Calibri" w:hAnsi="Times New Roman" w:cs="Times New Roman"/>
          <w:sz w:val="24"/>
          <w:szCs w:val="24"/>
        </w:rPr>
      </w:pPr>
    </w:p>
    <w:p w:rsidR="00E67293" w:rsidRPr="00E51FB8" w:rsidRDefault="00E67293" w:rsidP="00E67293">
      <w:pPr>
        <w:spacing w:after="0" w:line="240" w:lineRule="auto"/>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 xml:space="preserve">Pamatbudžeta ieņēmumu struktūra attēlā </w:t>
      </w:r>
      <w:r>
        <w:rPr>
          <w:rFonts w:ascii="Times New Roman" w:eastAsia="Calibri" w:hAnsi="Times New Roman" w:cs="Times New Roman"/>
          <w:sz w:val="24"/>
          <w:szCs w:val="24"/>
        </w:rPr>
        <w:t>N</w:t>
      </w:r>
      <w:r w:rsidRPr="00E51FB8">
        <w:rPr>
          <w:rFonts w:ascii="Times New Roman" w:eastAsia="Calibri" w:hAnsi="Times New Roman" w:cs="Times New Roman"/>
          <w:sz w:val="24"/>
          <w:szCs w:val="24"/>
        </w:rPr>
        <w:t>r.1</w:t>
      </w:r>
    </w:p>
    <w:p w:rsidR="00E67293" w:rsidRDefault="00E67293" w:rsidP="00E67293">
      <w:pPr>
        <w:spacing w:after="0" w:line="240" w:lineRule="auto"/>
        <w:jc w:val="both"/>
        <w:rPr>
          <w:rFonts w:ascii="Times New Roman" w:eastAsia="Calibri" w:hAnsi="Times New Roman" w:cs="Times New Roman"/>
          <w:i/>
          <w:sz w:val="24"/>
          <w:szCs w:val="24"/>
        </w:rPr>
      </w:pPr>
      <w:r w:rsidRPr="00E51FB8">
        <w:rPr>
          <w:rFonts w:ascii="Times New Roman" w:eastAsia="Calibri" w:hAnsi="Times New Roman" w:cs="Times New Roman"/>
          <w:sz w:val="24"/>
          <w:szCs w:val="24"/>
        </w:rPr>
        <w:t xml:space="preserve">Kopējie ieņēmumi 28 662 125 </w:t>
      </w:r>
      <w:proofErr w:type="spellStart"/>
      <w:r w:rsidRPr="00E51FB8">
        <w:rPr>
          <w:rFonts w:ascii="Times New Roman" w:eastAsia="Calibri" w:hAnsi="Times New Roman" w:cs="Times New Roman"/>
          <w:i/>
          <w:sz w:val="24"/>
          <w:szCs w:val="24"/>
        </w:rPr>
        <w:t>euro</w:t>
      </w:r>
      <w:proofErr w:type="spellEnd"/>
    </w:p>
    <w:p w:rsidR="00E67293" w:rsidRPr="00E51FB8" w:rsidRDefault="00E67293" w:rsidP="00E67293">
      <w:pPr>
        <w:spacing w:after="0" w:line="240" w:lineRule="auto"/>
        <w:jc w:val="both"/>
        <w:rPr>
          <w:rFonts w:ascii="Times New Roman" w:eastAsia="Calibri" w:hAnsi="Times New Roman" w:cs="Times New Roman"/>
          <w:i/>
          <w:sz w:val="24"/>
          <w:szCs w:val="24"/>
        </w:rPr>
      </w:pPr>
    </w:p>
    <w:p w:rsidR="00E67293" w:rsidRPr="00E51FB8" w:rsidRDefault="00E67293" w:rsidP="00E67293">
      <w:pPr>
        <w:spacing w:after="0" w:line="240" w:lineRule="auto"/>
        <w:jc w:val="both"/>
        <w:rPr>
          <w:rFonts w:ascii="Times New Roman" w:eastAsia="Calibri" w:hAnsi="Times New Roman" w:cs="Times New Roman"/>
          <w:sz w:val="24"/>
          <w:szCs w:val="24"/>
        </w:rPr>
      </w:pPr>
      <w:r w:rsidRPr="00E51FB8">
        <w:rPr>
          <w:rFonts w:ascii="Times New Roman" w:eastAsia="Calibri" w:hAnsi="Times New Roman" w:cs="Times New Roman"/>
          <w:noProof/>
          <w:sz w:val="24"/>
          <w:szCs w:val="24"/>
          <w:lang w:eastAsia="lv-LV"/>
        </w:rPr>
        <w:drawing>
          <wp:inline distT="0" distB="0" distL="0" distR="0" wp14:anchorId="608DE7CD" wp14:editId="3F029165">
            <wp:extent cx="6019800" cy="27241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67293" w:rsidRPr="00E51FB8" w:rsidRDefault="00E67293" w:rsidP="00E67293">
      <w:pPr>
        <w:spacing w:after="0" w:line="240" w:lineRule="auto"/>
        <w:jc w:val="both"/>
        <w:rPr>
          <w:rFonts w:ascii="Times New Roman" w:eastAsia="Calibri" w:hAnsi="Times New Roman" w:cs="Times New Roman"/>
          <w:sz w:val="24"/>
          <w:szCs w:val="24"/>
        </w:rPr>
      </w:pPr>
    </w:p>
    <w:p w:rsidR="00E67293" w:rsidRPr="00E51FB8" w:rsidRDefault="00E67293" w:rsidP="00E67293">
      <w:pPr>
        <w:spacing w:after="0" w:line="240" w:lineRule="auto"/>
        <w:jc w:val="both"/>
        <w:rPr>
          <w:rFonts w:ascii="Times New Roman" w:eastAsia="Calibri" w:hAnsi="Times New Roman" w:cs="Times New Roman"/>
          <w:b/>
          <w:sz w:val="24"/>
          <w:szCs w:val="24"/>
        </w:rPr>
      </w:pPr>
      <w:r w:rsidRPr="00E51FB8">
        <w:rPr>
          <w:rFonts w:ascii="Times New Roman" w:eastAsia="Calibri" w:hAnsi="Times New Roman" w:cs="Times New Roman"/>
          <w:b/>
          <w:sz w:val="24"/>
          <w:szCs w:val="24"/>
        </w:rPr>
        <w:t>2. Izdevumi</w:t>
      </w:r>
    </w:p>
    <w:p w:rsidR="00E67293" w:rsidRDefault="00E67293" w:rsidP="00E67293">
      <w:pPr>
        <w:spacing w:after="0" w:line="240" w:lineRule="auto"/>
        <w:jc w:val="both"/>
        <w:rPr>
          <w:rFonts w:ascii="Times New Roman" w:eastAsia="Calibri" w:hAnsi="Times New Roman" w:cs="Times New Roman"/>
          <w:sz w:val="24"/>
          <w:szCs w:val="24"/>
        </w:rPr>
      </w:pPr>
    </w:p>
    <w:p w:rsidR="00E67293" w:rsidRPr="00E51FB8" w:rsidRDefault="00E67293" w:rsidP="00E67293">
      <w:pPr>
        <w:spacing w:after="0" w:line="240" w:lineRule="auto"/>
        <w:ind w:firstLine="720"/>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 xml:space="preserve">Tukuma novada pašvaldības 2015. gada pamatbudžeta kopējie izdevumi ir plānoti 29 823 171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i/>
          <w:sz w:val="24"/>
          <w:szCs w:val="24"/>
        </w:rPr>
        <w:t xml:space="preserve">. </w:t>
      </w:r>
      <w:r w:rsidRPr="00E51FB8">
        <w:rPr>
          <w:rFonts w:ascii="Times New Roman" w:eastAsia="Calibri" w:hAnsi="Times New Roman" w:cs="Times New Roman"/>
          <w:sz w:val="24"/>
          <w:szCs w:val="24"/>
        </w:rPr>
        <w:t xml:space="preserve">Salīdzinājumā ar </w:t>
      </w:r>
      <w:proofErr w:type="gramStart"/>
      <w:r w:rsidRPr="00E51FB8">
        <w:rPr>
          <w:rFonts w:ascii="Times New Roman" w:eastAsia="Calibri" w:hAnsi="Times New Roman" w:cs="Times New Roman"/>
          <w:sz w:val="24"/>
          <w:szCs w:val="24"/>
        </w:rPr>
        <w:t>2014.gadu</w:t>
      </w:r>
      <w:proofErr w:type="gramEnd"/>
      <w:r w:rsidRPr="00E51FB8">
        <w:rPr>
          <w:rFonts w:ascii="Times New Roman" w:eastAsia="Calibri" w:hAnsi="Times New Roman" w:cs="Times New Roman"/>
          <w:sz w:val="24"/>
          <w:szCs w:val="24"/>
        </w:rPr>
        <w:t xml:space="preserve"> samazinājums ir 16 995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Visi pašvaldības plānotie izdevumi pēc savas ekonomiskās būtības iedalīti deviņās funkcionālajās kategorijās, to sadalījums attēlā nr.2. Lielākais izdevumu īpatsvars budžetā ir atbalsts izglītībai 51%, kultūrai un sportam 12% un sociālajai palīdzībai un pakalpojumiem 9%. Visām pašvaldības iestādēm, plānojot 2015. gada izdevumus, bija jāievēro vienādi nosacījumi – budžeta izdevumi kā 2014. gada sākotnējais plāns ar plānoto izdevumu pieaugumu līdz 5%, tam jābūt pamatotam ar skaitļiem (atvērta jauna iestāde, mainījušies tarifi komunālajiem pakalpojumiem u.c.), plānotie kapitālie remontu un pamatlīdzekļu iegāde netiek plānota, bet tiek iekļauta prioritāšu sarakstā. Izņemot gadījumus, ja ir avārijas situācija, un var tikt traucēta iestādes darbība. Tāpat otro gadu tika visām iestādēm noteikti vienādi budžeta sagatavošanas kritēriji un aprēķini, lai būtu vienlīdzīgi budžeta bāzes dati.</w:t>
      </w:r>
    </w:p>
    <w:p w:rsidR="00E67293" w:rsidRPr="00E51FB8" w:rsidRDefault="00E67293" w:rsidP="00E67293">
      <w:pPr>
        <w:spacing w:after="0" w:line="240" w:lineRule="auto"/>
        <w:jc w:val="both"/>
        <w:rPr>
          <w:rFonts w:ascii="Times New Roman" w:eastAsia="Calibri" w:hAnsi="Times New Roman" w:cs="Times New Roman"/>
          <w:sz w:val="24"/>
          <w:szCs w:val="24"/>
        </w:rPr>
      </w:pPr>
    </w:p>
    <w:p w:rsidR="00E67293" w:rsidRDefault="00E67293" w:rsidP="00E6729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E67293" w:rsidRPr="00E51FB8" w:rsidRDefault="00E67293" w:rsidP="00E67293">
      <w:pPr>
        <w:spacing w:after="0" w:line="240" w:lineRule="auto"/>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lastRenderedPageBreak/>
        <w:t xml:space="preserve">Pamatbudžeta izdevumu struktūra attēlā </w:t>
      </w:r>
      <w:r>
        <w:rPr>
          <w:rFonts w:ascii="Times New Roman" w:eastAsia="Calibri" w:hAnsi="Times New Roman" w:cs="Times New Roman"/>
          <w:sz w:val="24"/>
          <w:szCs w:val="24"/>
        </w:rPr>
        <w:t>N</w:t>
      </w:r>
      <w:r w:rsidRPr="00E51FB8">
        <w:rPr>
          <w:rFonts w:ascii="Times New Roman" w:eastAsia="Calibri" w:hAnsi="Times New Roman" w:cs="Times New Roman"/>
          <w:sz w:val="24"/>
          <w:szCs w:val="24"/>
        </w:rPr>
        <w:t>r.2</w:t>
      </w:r>
    </w:p>
    <w:p w:rsidR="00E67293" w:rsidRPr="00E51FB8" w:rsidRDefault="00E67293" w:rsidP="00E67293">
      <w:pPr>
        <w:spacing w:after="0" w:line="240" w:lineRule="auto"/>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 xml:space="preserve">Kopējie izdevumi 29 823 171 </w:t>
      </w:r>
      <w:proofErr w:type="spellStart"/>
      <w:r w:rsidRPr="00E51FB8">
        <w:rPr>
          <w:rFonts w:ascii="Times New Roman" w:eastAsia="Calibri" w:hAnsi="Times New Roman" w:cs="Times New Roman"/>
          <w:i/>
          <w:sz w:val="24"/>
          <w:szCs w:val="24"/>
        </w:rPr>
        <w:t>euro</w:t>
      </w:r>
      <w:proofErr w:type="spellEnd"/>
    </w:p>
    <w:p w:rsidR="00E67293" w:rsidRPr="00E51FB8" w:rsidRDefault="00E67293" w:rsidP="00E67293">
      <w:pPr>
        <w:spacing w:after="0" w:line="240" w:lineRule="auto"/>
        <w:jc w:val="both"/>
        <w:rPr>
          <w:rFonts w:ascii="Times New Roman" w:eastAsia="Calibri" w:hAnsi="Times New Roman" w:cs="Times New Roman"/>
          <w:sz w:val="24"/>
          <w:szCs w:val="24"/>
        </w:rPr>
      </w:pPr>
      <w:r w:rsidRPr="00E51FB8">
        <w:rPr>
          <w:rFonts w:ascii="Times New Roman" w:eastAsia="Calibri" w:hAnsi="Times New Roman" w:cs="Times New Roman"/>
          <w:noProof/>
          <w:sz w:val="24"/>
          <w:szCs w:val="24"/>
          <w:lang w:eastAsia="lv-LV"/>
        </w:rPr>
        <w:drawing>
          <wp:inline distT="0" distB="0" distL="0" distR="0" wp14:anchorId="60909513" wp14:editId="25B3DB63">
            <wp:extent cx="5715000" cy="43815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67293" w:rsidRPr="00E51FB8" w:rsidRDefault="00E67293" w:rsidP="00E67293">
      <w:pPr>
        <w:spacing w:after="0" w:line="240" w:lineRule="auto"/>
        <w:jc w:val="both"/>
        <w:rPr>
          <w:rFonts w:ascii="Times New Roman" w:eastAsia="Calibri" w:hAnsi="Times New Roman" w:cs="Times New Roman"/>
          <w:sz w:val="24"/>
          <w:szCs w:val="24"/>
        </w:rPr>
      </w:pPr>
    </w:p>
    <w:p w:rsidR="00E67293" w:rsidRDefault="00E67293" w:rsidP="00E67293">
      <w:pPr>
        <w:spacing w:after="0" w:line="240" w:lineRule="auto"/>
        <w:jc w:val="both"/>
        <w:rPr>
          <w:rFonts w:ascii="Times New Roman" w:eastAsia="Calibri" w:hAnsi="Times New Roman" w:cs="Times New Roman"/>
          <w:sz w:val="24"/>
          <w:szCs w:val="24"/>
        </w:rPr>
      </w:pPr>
    </w:p>
    <w:p w:rsidR="00E67293" w:rsidRPr="00E51FB8" w:rsidRDefault="00E67293" w:rsidP="00E67293">
      <w:pPr>
        <w:spacing w:after="0" w:line="240" w:lineRule="auto"/>
        <w:ind w:firstLine="720"/>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 xml:space="preserve">2.1. Pārvaldes izdevumi. Saskaņā ar LR likumu „Par pašvaldībām” un atbilstoši Tukuma novada Domes nolikumam, pašvaldības iedzīvotāju pārstāvību nodrošina pašvaldības lēmējorgāns – dome, ko veido ievēlēti deputāti, savukārt domes pieņemto lēmumu izpildi, kā arī tās darba organizatorisko un tehnisko apkalpošanu nodrošina pašvaldības administrācija. Kopējie izdevumi 2015. gadā ir 2 579 696, kas ir par 23% lielāki nekā 2014. gadā (477 485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Tas saistīts ar IT tehnoloģiju attīstību novadā, kam plānots ir 217 845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i/>
          <w:sz w:val="24"/>
          <w:szCs w:val="24"/>
        </w:rPr>
        <w:t xml:space="preserve"> </w:t>
      </w:r>
      <w:r w:rsidRPr="00E51FB8">
        <w:rPr>
          <w:rFonts w:ascii="Times New Roman" w:eastAsia="Calibri" w:hAnsi="Times New Roman" w:cs="Times New Roman"/>
          <w:sz w:val="24"/>
          <w:szCs w:val="24"/>
        </w:rPr>
        <w:t>un autoparka atjaunošanu novadā un darbinieku veselības apdrošināšanas polišu iegādei un atlīdzības pieaugumam vidēji par 4,5 %.</w:t>
      </w:r>
    </w:p>
    <w:p w:rsidR="00E67293" w:rsidRPr="00E51FB8" w:rsidRDefault="00E67293" w:rsidP="00E67293">
      <w:pPr>
        <w:spacing w:after="0" w:line="240" w:lineRule="auto"/>
        <w:ind w:firstLine="720"/>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 xml:space="preserve">2.2. Parāda maksājumi (kredītu apkalpošana un procentu izdevumi) ir plānoti 188 191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kas ir par 289 173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mazāk salīdzinājumā ar </w:t>
      </w:r>
      <w:proofErr w:type="gramStart"/>
      <w:r w:rsidRPr="00E51FB8">
        <w:rPr>
          <w:rFonts w:ascii="Times New Roman" w:eastAsia="Calibri" w:hAnsi="Times New Roman" w:cs="Times New Roman"/>
          <w:sz w:val="24"/>
          <w:szCs w:val="24"/>
        </w:rPr>
        <w:t>2014.gadu</w:t>
      </w:r>
      <w:proofErr w:type="gramEnd"/>
      <w:r w:rsidRPr="00E51FB8">
        <w:rPr>
          <w:rFonts w:ascii="Times New Roman" w:eastAsia="Calibri" w:hAnsi="Times New Roman" w:cs="Times New Roman"/>
          <w:sz w:val="24"/>
          <w:szCs w:val="24"/>
        </w:rPr>
        <w:t xml:space="preserve">, jo ir samazinājušās procentu likmes un aizņēmumu pamatsummas, jo saņemts Eiropas </w:t>
      </w:r>
      <w:r>
        <w:rPr>
          <w:rFonts w:ascii="Times New Roman" w:eastAsia="Calibri" w:hAnsi="Times New Roman" w:cs="Times New Roman"/>
          <w:sz w:val="24"/>
          <w:szCs w:val="24"/>
        </w:rPr>
        <w:t>S</w:t>
      </w:r>
      <w:r w:rsidRPr="00E51FB8">
        <w:rPr>
          <w:rFonts w:ascii="Times New Roman" w:eastAsia="Calibri" w:hAnsi="Times New Roman" w:cs="Times New Roman"/>
          <w:sz w:val="24"/>
          <w:szCs w:val="24"/>
        </w:rPr>
        <w:t>avienības fondu finansējuma atmaksa aizņēmuma segšanai.</w:t>
      </w:r>
    </w:p>
    <w:p w:rsidR="00E67293" w:rsidRPr="00E51FB8" w:rsidRDefault="00E67293" w:rsidP="00E67293">
      <w:pPr>
        <w:spacing w:after="0" w:line="240" w:lineRule="auto"/>
        <w:ind w:firstLine="720"/>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 xml:space="preserve">2.3. Sabiedriskā kārtība un drošība. Atbilstoši iedalījumam funkcionālajās kategorijās šos izdevumus veido pašvaldības policijas uzturēšana, videonovērošanas sistēmas apkalpošana un sabiedriskās pludmales </w:t>
      </w:r>
      <w:proofErr w:type="spellStart"/>
      <w:r w:rsidRPr="00E51FB8">
        <w:rPr>
          <w:rFonts w:ascii="Times New Roman" w:eastAsia="Calibri" w:hAnsi="Times New Roman" w:cs="Times New Roman"/>
          <w:sz w:val="24"/>
          <w:szCs w:val="24"/>
        </w:rPr>
        <w:t>Melnezers</w:t>
      </w:r>
      <w:proofErr w:type="spellEnd"/>
      <w:r w:rsidRPr="00E51FB8">
        <w:rPr>
          <w:rFonts w:ascii="Times New Roman" w:eastAsia="Calibri" w:hAnsi="Times New Roman" w:cs="Times New Roman"/>
          <w:sz w:val="24"/>
          <w:szCs w:val="24"/>
        </w:rPr>
        <w:t xml:space="preserve"> uzturēšana. Salīdzinājumā ar </w:t>
      </w:r>
      <w:proofErr w:type="gramStart"/>
      <w:r w:rsidRPr="00E51FB8">
        <w:rPr>
          <w:rFonts w:ascii="Times New Roman" w:eastAsia="Calibri" w:hAnsi="Times New Roman" w:cs="Times New Roman"/>
          <w:sz w:val="24"/>
          <w:szCs w:val="24"/>
        </w:rPr>
        <w:t>2013.gadu</w:t>
      </w:r>
      <w:proofErr w:type="gramEnd"/>
      <w:r w:rsidRPr="00E51FB8">
        <w:rPr>
          <w:rFonts w:ascii="Times New Roman" w:eastAsia="Calibri" w:hAnsi="Times New Roman" w:cs="Times New Roman"/>
          <w:sz w:val="24"/>
          <w:szCs w:val="24"/>
        </w:rPr>
        <w:t xml:space="preserve"> izdevumi ir palielinājušies par 7% (23 232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jo ir plānota Pašvaldības policijā jaunas automašīnas iegāde un jaunas videonovērošanas kameru izbūve un atalgojuma pieaugumam vidēji par 4,5%. </w:t>
      </w:r>
    </w:p>
    <w:p w:rsidR="00E67293" w:rsidRPr="00E51FB8" w:rsidRDefault="00E67293" w:rsidP="00E67293">
      <w:pPr>
        <w:spacing w:after="0" w:line="240" w:lineRule="auto"/>
        <w:ind w:firstLine="720"/>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 xml:space="preserve">2.4. Ekonomiskā darbība. Šīs sadaļas izdevumus veido ekonomiskās darbības atbalstam, tūrisma attīstībai novadā (Tūrisma informācijas centrs), pilsētas un novada infrastruktūras sakārtošanai (ielas, ceļi, tilti, veloceliņi). Plānotie izdevumi 1 029 079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Lielākie plānotie darbi Stacijas ielas rekonstrukcija, trotuāru bruģēšana pilsētā, Dzelzceļa stacijas Tukums I fasādes sakārtošana, pagastos grantēto ceļu seguma atjaunošana u.c. Jauns pasākums ir uzņēmējdarbības atbalsta veicinošie pasākumi novadā. Samazinājums ir par 60 % (1 539 580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i/>
          <w:sz w:val="24"/>
          <w:szCs w:val="24"/>
        </w:rPr>
        <w:t>)</w:t>
      </w:r>
      <w:r w:rsidRPr="00E51FB8">
        <w:rPr>
          <w:rFonts w:ascii="Times New Roman" w:eastAsia="Calibri" w:hAnsi="Times New Roman" w:cs="Times New Roman"/>
          <w:sz w:val="24"/>
          <w:szCs w:val="24"/>
        </w:rPr>
        <w:t xml:space="preserve">, jo </w:t>
      </w:r>
      <w:proofErr w:type="gramStart"/>
      <w:r w:rsidRPr="00E51FB8">
        <w:rPr>
          <w:rFonts w:ascii="Times New Roman" w:eastAsia="Calibri" w:hAnsi="Times New Roman" w:cs="Times New Roman"/>
          <w:sz w:val="24"/>
          <w:szCs w:val="24"/>
        </w:rPr>
        <w:t>2015.gadā</w:t>
      </w:r>
      <w:proofErr w:type="gramEnd"/>
      <w:r w:rsidRPr="00E51FB8">
        <w:rPr>
          <w:rFonts w:ascii="Times New Roman" w:eastAsia="Calibri" w:hAnsi="Times New Roman" w:cs="Times New Roman"/>
          <w:sz w:val="24"/>
          <w:szCs w:val="24"/>
        </w:rPr>
        <w:t xml:space="preserve"> netiek plānoti darbi, kuri saistīti ar ES fondu finansējumu.</w:t>
      </w:r>
    </w:p>
    <w:p w:rsidR="00E67293" w:rsidRPr="00E51FB8" w:rsidRDefault="00E67293" w:rsidP="00E67293">
      <w:pPr>
        <w:spacing w:after="0" w:line="240" w:lineRule="auto"/>
        <w:ind w:firstLine="720"/>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lastRenderedPageBreak/>
        <w:t xml:space="preserve">2.5. Vides aizsardzība. Plānotie līdzekļi 392 133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Finansējums paredzēts – ielu, laukumu, parku un citu teritoriju tīrīšanai, atkritumu savākšanai, notekūdeņu apsaimniekošanai, ūdens un kanalizācijas pieslēgumu izbūvei. </w:t>
      </w:r>
    </w:p>
    <w:p w:rsidR="00E67293" w:rsidRPr="00E51FB8" w:rsidRDefault="00E67293" w:rsidP="00E67293">
      <w:pPr>
        <w:spacing w:after="0" w:line="240" w:lineRule="auto"/>
        <w:ind w:firstLine="720"/>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 xml:space="preserve">2.6. Pašvaldību teritoriju un mājokļu apsaimniekošanai plānoti līdzekļi 3 247 854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Šīs sadaļas izdevumi ir dzīvojamo un nedzīvojamo ēku apsaimniekošana un uzturēšana, apgaismošanas izdevumi, teritorijas uzturēšanas izdevumi (stādījumi, ziedi, pilsētas un pagastu dekorēšana, kāpņu, soliņu remonti utt.). Nozīmīgākais projekts ir Lielās ielas parka rekonstrukcija, lai 2015. gadā tās tiktu atvērts novada iedzīvotājiem. Pieaugums plānots par 45% (1 012 183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i/>
          <w:sz w:val="24"/>
          <w:szCs w:val="24"/>
        </w:rPr>
        <w:t xml:space="preserve">). </w:t>
      </w:r>
    </w:p>
    <w:p w:rsidR="00E67293" w:rsidRPr="00E51FB8" w:rsidRDefault="00E67293" w:rsidP="00E67293">
      <w:pPr>
        <w:spacing w:after="0" w:line="240" w:lineRule="auto"/>
        <w:ind w:firstLine="720"/>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 xml:space="preserve">2.7. Veselības aprūpes atbalstam ieplānoti 52 099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Izdevumi plānoti pagastu </w:t>
      </w:r>
      <w:proofErr w:type="spellStart"/>
      <w:r w:rsidRPr="00E51FB8">
        <w:rPr>
          <w:rFonts w:ascii="Times New Roman" w:eastAsia="Calibri" w:hAnsi="Times New Roman" w:cs="Times New Roman"/>
          <w:sz w:val="24"/>
          <w:szCs w:val="24"/>
        </w:rPr>
        <w:t>feldšerpunktu</w:t>
      </w:r>
      <w:proofErr w:type="spellEnd"/>
      <w:r w:rsidRPr="00E51FB8">
        <w:rPr>
          <w:rFonts w:ascii="Times New Roman" w:eastAsia="Calibri" w:hAnsi="Times New Roman" w:cs="Times New Roman"/>
          <w:sz w:val="24"/>
          <w:szCs w:val="24"/>
        </w:rPr>
        <w:t xml:space="preserve"> uzturēšanai. Šeit ir plānoti arī jauni pasākumi veselības veicināšanai pašvaldībā – veselības stratēģijas izstrāde, veselību veicinošie pasākumi skolās un pirmsskolas izglītības iestādēs. Tāpat ir plānots ieguldījums SIA „Tukuma slimnīca” pamatkapitālā līdz 234 000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i/>
          <w:sz w:val="24"/>
          <w:szCs w:val="24"/>
        </w:rPr>
        <w:t xml:space="preserve"> </w:t>
      </w:r>
      <w:proofErr w:type="spellStart"/>
      <w:r w:rsidRPr="00E51FB8">
        <w:rPr>
          <w:rFonts w:ascii="Times New Roman" w:eastAsia="Calibri" w:hAnsi="Times New Roman" w:cs="Times New Roman"/>
          <w:sz w:val="24"/>
          <w:szCs w:val="24"/>
        </w:rPr>
        <w:t>datortomogrāfa</w:t>
      </w:r>
      <w:proofErr w:type="spellEnd"/>
      <w:r w:rsidRPr="00E51FB8">
        <w:rPr>
          <w:rFonts w:ascii="Times New Roman" w:eastAsia="Calibri" w:hAnsi="Times New Roman" w:cs="Times New Roman"/>
          <w:sz w:val="24"/>
          <w:szCs w:val="24"/>
        </w:rPr>
        <w:t xml:space="preserve"> iegādei no aizņēmuma līdzekļiem.</w:t>
      </w:r>
    </w:p>
    <w:p w:rsidR="00E67293" w:rsidRPr="00E51FB8" w:rsidRDefault="00E67293" w:rsidP="00E67293">
      <w:pPr>
        <w:spacing w:after="0" w:line="240" w:lineRule="auto"/>
        <w:ind w:firstLine="720"/>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 xml:space="preserve">2.8. Atpūta, kultūra un atbalsts biedrībām un nodibinājumiem. Plānoti līdzekļi 3 584 615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Samazinājums ir par 184 856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i/>
          <w:sz w:val="24"/>
          <w:szCs w:val="24"/>
        </w:rPr>
        <w:t>.</w:t>
      </w:r>
      <w:r w:rsidRPr="00E51FB8">
        <w:rPr>
          <w:rFonts w:ascii="Times New Roman" w:eastAsia="Calibri" w:hAnsi="Times New Roman" w:cs="Times New Roman"/>
          <w:sz w:val="24"/>
          <w:szCs w:val="24"/>
        </w:rPr>
        <w:t xml:space="preserve"> Atbalsts novada biedrībām un nodibinājumiem plānoti 91 238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i/>
          <w:sz w:val="24"/>
          <w:szCs w:val="24"/>
        </w:rPr>
        <w:t>.</w:t>
      </w:r>
    </w:p>
    <w:p w:rsidR="00E67293" w:rsidRPr="00E51FB8" w:rsidRDefault="00E67293" w:rsidP="00E67293">
      <w:pPr>
        <w:spacing w:after="0" w:line="240" w:lineRule="auto"/>
        <w:ind w:firstLine="720"/>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 xml:space="preserve">2.9. Izglītība. Proporcionāli vislielākais finansējums ir izglītībai 15 317 517 </w:t>
      </w:r>
      <w:proofErr w:type="gramStart"/>
      <w:r w:rsidRPr="00E51FB8">
        <w:rPr>
          <w:rFonts w:ascii="Times New Roman" w:eastAsia="Calibri" w:hAnsi="Times New Roman" w:cs="Times New Roman"/>
          <w:sz w:val="24"/>
          <w:szCs w:val="24"/>
        </w:rPr>
        <w:t>(</w:t>
      </w:r>
      <w:proofErr w:type="gramEnd"/>
      <w:r w:rsidRPr="00E51FB8">
        <w:rPr>
          <w:rFonts w:ascii="Times New Roman" w:eastAsia="Calibri" w:hAnsi="Times New Roman" w:cs="Times New Roman"/>
          <w:sz w:val="24"/>
          <w:szCs w:val="24"/>
        </w:rPr>
        <w:t xml:space="preserve">tai skaitā maksas pakalpojumi – 400 633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valsts mērķdotācijas – 7 685 729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Palielinājums kopumā par 5,91 % (854 365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i/>
          <w:sz w:val="24"/>
          <w:szCs w:val="24"/>
        </w:rPr>
        <w:t>).</w:t>
      </w:r>
      <w:r w:rsidRPr="00E51FB8">
        <w:rPr>
          <w:rFonts w:ascii="Times New Roman" w:eastAsia="Calibri" w:hAnsi="Times New Roman" w:cs="Times New Roman"/>
          <w:sz w:val="24"/>
          <w:szCs w:val="24"/>
        </w:rPr>
        <w:t xml:space="preserve"> Tāpat ir plānots pašvaldības līdzfinansējums skolēnu ēdināšanai skolās, līdzfinansējums skolēnu ceļa izdevumu segšanai, lai apmeklētu skolu. Tāpat arī šogad tiek saglabāts atbalsts privātajai pirmsskolas izglītības iestādei „Ķipars” un auklīšu pakalpojumu izdevumu līdzfinansējuma segšanai (86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Pieaugums ir saistīts arī ar jaunu iestāžu un ēku atvēršanu – PII “</w:t>
      </w:r>
      <w:proofErr w:type="spellStart"/>
      <w:r w:rsidRPr="00E51FB8">
        <w:rPr>
          <w:rFonts w:ascii="Times New Roman" w:eastAsia="Calibri" w:hAnsi="Times New Roman" w:cs="Times New Roman"/>
          <w:sz w:val="24"/>
          <w:szCs w:val="24"/>
        </w:rPr>
        <w:t>Lotte</w:t>
      </w:r>
      <w:proofErr w:type="spellEnd"/>
      <w:r w:rsidRPr="00E51FB8">
        <w:rPr>
          <w:rFonts w:ascii="Times New Roman" w:eastAsia="Calibri" w:hAnsi="Times New Roman" w:cs="Times New Roman"/>
          <w:sz w:val="24"/>
          <w:szCs w:val="24"/>
        </w:rPr>
        <w:t>”, piebūve</w:t>
      </w:r>
      <w:r>
        <w:rPr>
          <w:rFonts w:ascii="Times New Roman" w:eastAsia="Calibri" w:hAnsi="Times New Roman" w:cs="Times New Roman"/>
          <w:sz w:val="24"/>
          <w:szCs w:val="24"/>
        </w:rPr>
        <w:t xml:space="preserve"> Tukuma</w:t>
      </w:r>
      <w:r w:rsidRPr="00E51FB8">
        <w:rPr>
          <w:rFonts w:ascii="Times New Roman" w:eastAsia="Calibri" w:hAnsi="Times New Roman" w:cs="Times New Roman"/>
          <w:sz w:val="24"/>
          <w:szCs w:val="24"/>
        </w:rPr>
        <w:t xml:space="preserve"> E.B</w:t>
      </w:r>
      <w:r>
        <w:rPr>
          <w:rFonts w:ascii="Times New Roman" w:eastAsia="Calibri" w:hAnsi="Times New Roman" w:cs="Times New Roman"/>
          <w:sz w:val="24"/>
          <w:szCs w:val="24"/>
        </w:rPr>
        <w:t>irznieka-</w:t>
      </w:r>
      <w:r w:rsidRPr="00E51FB8">
        <w:rPr>
          <w:rFonts w:ascii="Times New Roman" w:eastAsia="Calibri" w:hAnsi="Times New Roman" w:cs="Times New Roman"/>
          <w:sz w:val="24"/>
          <w:szCs w:val="24"/>
        </w:rPr>
        <w:t xml:space="preserve">Upīša 1.pamatskolā, kā arī ar minimālās darba algas pieaugumu no 320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uz 360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kas ir 199 198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i/>
          <w:sz w:val="24"/>
          <w:szCs w:val="24"/>
        </w:rPr>
        <w:t xml:space="preserve">. </w:t>
      </w:r>
      <w:proofErr w:type="gramStart"/>
      <w:r w:rsidRPr="00E51FB8">
        <w:rPr>
          <w:rFonts w:ascii="Times New Roman" w:eastAsia="Calibri" w:hAnsi="Times New Roman" w:cs="Times New Roman"/>
          <w:sz w:val="24"/>
          <w:szCs w:val="24"/>
        </w:rPr>
        <w:t>2015.gadā</w:t>
      </w:r>
      <w:proofErr w:type="gramEnd"/>
      <w:r w:rsidRPr="00E51FB8">
        <w:rPr>
          <w:rFonts w:ascii="Times New Roman" w:eastAsia="Calibri" w:hAnsi="Times New Roman" w:cs="Times New Roman"/>
          <w:sz w:val="24"/>
          <w:szCs w:val="24"/>
        </w:rPr>
        <w:t xml:space="preserve"> ir plānots izbūvēt stadionu un sporta zāli pie 3.pamatskolas ar aizņēmuma līdzekļiem (2 000 000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w:t>
      </w:r>
    </w:p>
    <w:p w:rsidR="00E67293" w:rsidRPr="00E51FB8" w:rsidRDefault="00E67293" w:rsidP="00E67293">
      <w:pPr>
        <w:spacing w:after="0" w:line="240" w:lineRule="auto"/>
        <w:ind w:firstLine="720"/>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2.10.</w:t>
      </w:r>
      <w:r>
        <w:rPr>
          <w:rFonts w:ascii="Times New Roman" w:eastAsia="Calibri" w:hAnsi="Times New Roman" w:cs="Times New Roman"/>
          <w:sz w:val="24"/>
          <w:szCs w:val="24"/>
        </w:rPr>
        <w:t xml:space="preserve"> </w:t>
      </w:r>
      <w:r w:rsidRPr="00E51FB8">
        <w:rPr>
          <w:rFonts w:ascii="Times New Roman" w:eastAsia="Calibri" w:hAnsi="Times New Roman" w:cs="Times New Roman"/>
          <w:sz w:val="24"/>
          <w:szCs w:val="24"/>
        </w:rPr>
        <w:t xml:space="preserve">Sociālā palīdzība un sociālie pakalpojumi. Plānotie līdzekļi </w:t>
      </w:r>
      <w:proofErr w:type="gramStart"/>
      <w:r w:rsidRPr="00E51FB8">
        <w:rPr>
          <w:rFonts w:ascii="Times New Roman" w:eastAsia="Calibri" w:hAnsi="Times New Roman" w:cs="Times New Roman"/>
          <w:sz w:val="24"/>
          <w:szCs w:val="24"/>
        </w:rPr>
        <w:t>2015.gadā</w:t>
      </w:r>
      <w:proofErr w:type="gramEnd"/>
      <w:r w:rsidRPr="00E51FB8">
        <w:rPr>
          <w:rFonts w:ascii="Times New Roman" w:eastAsia="Calibri" w:hAnsi="Times New Roman" w:cs="Times New Roman"/>
          <w:sz w:val="24"/>
          <w:szCs w:val="24"/>
        </w:rPr>
        <w:t xml:space="preserve"> ir 2 620 778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kas ir par 8 % vairāk </w:t>
      </w:r>
      <w:r>
        <w:rPr>
          <w:rFonts w:ascii="Times New Roman" w:eastAsia="Calibri" w:hAnsi="Times New Roman" w:cs="Times New Roman"/>
          <w:sz w:val="24"/>
          <w:szCs w:val="24"/>
        </w:rPr>
        <w:t>ne</w:t>
      </w:r>
      <w:r w:rsidRPr="00E51FB8">
        <w:rPr>
          <w:rFonts w:ascii="Times New Roman" w:eastAsia="Calibri" w:hAnsi="Times New Roman" w:cs="Times New Roman"/>
          <w:sz w:val="24"/>
          <w:szCs w:val="24"/>
        </w:rPr>
        <w:t xml:space="preserve">kā 2014.gadā (198 220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Pieaugums ir </w:t>
      </w:r>
      <w:proofErr w:type="gramStart"/>
      <w:r w:rsidRPr="00E51FB8">
        <w:rPr>
          <w:rFonts w:ascii="Times New Roman" w:eastAsia="Calibri" w:hAnsi="Times New Roman" w:cs="Times New Roman"/>
          <w:sz w:val="24"/>
          <w:szCs w:val="24"/>
        </w:rPr>
        <w:t>plānot</w:t>
      </w:r>
      <w:r>
        <w:rPr>
          <w:rFonts w:ascii="Times New Roman" w:eastAsia="Calibri" w:hAnsi="Times New Roman" w:cs="Times New Roman"/>
          <w:sz w:val="24"/>
          <w:szCs w:val="24"/>
        </w:rPr>
        <w:t>s</w:t>
      </w:r>
      <w:r w:rsidRPr="00E51FB8">
        <w:rPr>
          <w:rFonts w:ascii="Times New Roman" w:eastAsia="Calibri" w:hAnsi="Times New Roman" w:cs="Times New Roman"/>
          <w:sz w:val="24"/>
          <w:szCs w:val="24"/>
        </w:rPr>
        <w:t xml:space="preserve"> ar sociālo pakalpojumu struktūrvienību (Invalīdu dienas centrs “Saime</w:t>
      </w:r>
      <w:proofErr w:type="gramEnd"/>
      <w:r w:rsidRPr="00E51FB8">
        <w:rPr>
          <w:rFonts w:ascii="Times New Roman" w:eastAsia="Calibri" w:hAnsi="Times New Roman" w:cs="Times New Roman"/>
          <w:sz w:val="24"/>
          <w:szCs w:val="24"/>
        </w:rPr>
        <w:t>” un Bērnu dienas centra “Saimīte”) pārcelšanos uz jaunām telpām Dārzniecības ielā 2A</w:t>
      </w:r>
      <w:r>
        <w:rPr>
          <w:rFonts w:ascii="Times New Roman" w:eastAsia="Calibri" w:hAnsi="Times New Roman" w:cs="Times New Roman"/>
          <w:sz w:val="24"/>
          <w:szCs w:val="24"/>
        </w:rPr>
        <w:t>, Tukumā,</w:t>
      </w:r>
      <w:r w:rsidRPr="00E51FB8">
        <w:rPr>
          <w:rFonts w:ascii="Times New Roman" w:eastAsia="Calibri" w:hAnsi="Times New Roman" w:cs="Times New Roman"/>
          <w:sz w:val="24"/>
          <w:szCs w:val="24"/>
        </w:rPr>
        <w:t xml:space="preserve"> un jaunu pakalpojumu nodrošināšanu Sēmes kopienu centrā un sociālo grupu dzīvokļu izveide Irlavā “ Mežrozītēs”.</w:t>
      </w:r>
    </w:p>
    <w:p w:rsidR="00E67293" w:rsidRPr="00E51FB8" w:rsidRDefault="00E67293" w:rsidP="00E67293">
      <w:pPr>
        <w:spacing w:after="0" w:line="240" w:lineRule="auto"/>
        <w:jc w:val="both"/>
        <w:rPr>
          <w:rFonts w:ascii="Times New Roman" w:eastAsia="Calibri" w:hAnsi="Times New Roman" w:cs="Times New Roman"/>
          <w:b/>
          <w:sz w:val="24"/>
          <w:szCs w:val="24"/>
        </w:rPr>
      </w:pPr>
      <w:r w:rsidRPr="00E51FB8">
        <w:rPr>
          <w:rFonts w:ascii="Times New Roman" w:eastAsia="Calibri" w:hAnsi="Times New Roman" w:cs="Times New Roman"/>
          <w:b/>
          <w:sz w:val="24"/>
          <w:szCs w:val="24"/>
        </w:rPr>
        <w:t>Speciālais budžets</w:t>
      </w:r>
    </w:p>
    <w:p w:rsidR="00E67293" w:rsidRDefault="00E67293" w:rsidP="00E67293">
      <w:pPr>
        <w:spacing w:after="0" w:line="240" w:lineRule="auto"/>
        <w:ind w:firstLine="720"/>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 xml:space="preserve">Tukuma novada pašvaldības speciālo budžetu veido Dabas resursu nodoklis un Autoceļa fonda ieņēmumi. Kopējie ieņēmumi ir 800 345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izdevumi 1 063 961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atlikums uz 01.01.2015. ir 263 616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Speciālā budžeta ieņēmumi un izdevumi novadā tiek plānoti centralizēti. Dabas resursa nodokļa ieņēmumi tiek plānoti lietus ūdeņu savākšanai, attīrīšanai, strūklaku apkalpošanai, atkritumu savākšanai, ūdens paraugu analīžu veikšanai, latvāņu pļaušanai un citiem izdevumiem, kuri saistīti ar vides aizsardzību novadā. Plānotais autoceļa fonda ieņēmumu (686 515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un atlikuma (197 892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xml:space="preserve">) sadalījums novadā parādīts </w:t>
      </w:r>
      <w:r>
        <w:rPr>
          <w:rFonts w:ascii="Times New Roman" w:eastAsia="Calibri" w:hAnsi="Times New Roman" w:cs="Times New Roman"/>
          <w:sz w:val="24"/>
          <w:szCs w:val="24"/>
        </w:rPr>
        <w:t>3</w:t>
      </w:r>
      <w:r w:rsidRPr="00E51FB8">
        <w:rPr>
          <w:rFonts w:ascii="Times New Roman" w:eastAsia="Calibri" w:hAnsi="Times New Roman" w:cs="Times New Roman"/>
          <w:sz w:val="24"/>
          <w:szCs w:val="24"/>
        </w:rPr>
        <w:t>.attēlā.</w:t>
      </w:r>
    </w:p>
    <w:p w:rsidR="00E67293" w:rsidRDefault="00E67293" w:rsidP="00E6729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E67293" w:rsidRPr="00E51FB8" w:rsidRDefault="00E67293" w:rsidP="00E6729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Pr="00E51FB8">
        <w:rPr>
          <w:rFonts w:ascii="Times New Roman" w:eastAsia="Calibri" w:hAnsi="Times New Roman" w:cs="Times New Roman"/>
          <w:sz w:val="24"/>
          <w:szCs w:val="24"/>
        </w:rPr>
        <w:t>attēl</w:t>
      </w:r>
      <w:r>
        <w:rPr>
          <w:rFonts w:ascii="Times New Roman" w:eastAsia="Calibri" w:hAnsi="Times New Roman" w:cs="Times New Roman"/>
          <w:sz w:val="24"/>
          <w:szCs w:val="24"/>
        </w:rPr>
        <w:t>s</w:t>
      </w:r>
    </w:p>
    <w:p w:rsidR="00E67293" w:rsidRPr="00E51FB8" w:rsidRDefault="00E67293" w:rsidP="00E67293">
      <w:pPr>
        <w:spacing w:after="0" w:line="240" w:lineRule="auto"/>
        <w:ind w:firstLine="720"/>
        <w:jc w:val="both"/>
        <w:rPr>
          <w:rFonts w:ascii="Times New Roman" w:eastAsia="Calibri" w:hAnsi="Times New Roman" w:cs="Times New Roman"/>
          <w:sz w:val="24"/>
          <w:szCs w:val="24"/>
        </w:rPr>
      </w:pPr>
    </w:p>
    <w:p w:rsidR="00E67293" w:rsidRPr="00E51FB8" w:rsidRDefault="00E67293" w:rsidP="00E67293">
      <w:pPr>
        <w:spacing w:after="0" w:line="240" w:lineRule="auto"/>
        <w:jc w:val="both"/>
        <w:rPr>
          <w:rFonts w:ascii="Times New Roman" w:eastAsia="Calibri" w:hAnsi="Times New Roman" w:cs="Times New Roman"/>
          <w:sz w:val="24"/>
          <w:szCs w:val="24"/>
        </w:rPr>
      </w:pPr>
    </w:p>
    <w:p w:rsidR="00E67293" w:rsidRDefault="00E67293" w:rsidP="00E67293">
      <w:pPr>
        <w:spacing w:after="0" w:line="240" w:lineRule="auto"/>
        <w:jc w:val="both"/>
        <w:rPr>
          <w:rFonts w:ascii="Times New Roman" w:eastAsia="Calibri" w:hAnsi="Times New Roman" w:cs="Times New Roman"/>
          <w:sz w:val="24"/>
          <w:szCs w:val="24"/>
        </w:rPr>
      </w:pPr>
      <w:r w:rsidRPr="00E51FB8">
        <w:rPr>
          <w:rFonts w:ascii="Times New Roman" w:eastAsia="Calibri" w:hAnsi="Times New Roman" w:cs="Times New Roman"/>
          <w:sz w:val="24"/>
          <w:szCs w:val="24"/>
        </w:rPr>
        <w:tab/>
      </w:r>
    </w:p>
    <w:p w:rsidR="00E67293" w:rsidRDefault="00E67293" w:rsidP="00E67293">
      <w:pPr>
        <w:spacing w:after="0" w:line="240" w:lineRule="auto"/>
        <w:jc w:val="both"/>
        <w:rPr>
          <w:rFonts w:ascii="Times New Roman" w:eastAsia="Calibri" w:hAnsi="Times New Roman" w:cs="Times New Roman"/>
          <w:sz w:val="24"/>
          <w:szCs w:val="24"/>
        </w:rPr>
      </w:pPr>
      <w:r>
        <w:rPr>
          <w:noProof/>
          <w:lang w:eastAsia="lv-LV"/>
        </w:rPr>
        <w:drawing>
          <wp:inline distT="0" distB="0" distL="0" distR="0" wp14:anchorId="7FF42480" wp14:editId="542943E6">
            <wp:extent cx="5390985" cy="2743200"/>
            <wp:effectExtent l="0" t="0" r="1968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67293" w:rsidRDefault="00E67293" w:rsidP="00E67293">
      <w:pPr>
        <w:spacing w:after="0" w:line="240" w:lineRule="auto"/>
        <w:ind w:firstLine="720"/>
        <w:jc w:val="both"/>
        <w:rPr>
          <w:rFonts w:ascii="Times New Roman" w:eastAsia="Calibri" w:hAnsi="Times New Roman" w:cs="Times New Roman"/>
          <w:sz w:val="24"/>
          <w:szCs w:val="24"/>
        </w:rPr>
      </w:pPr>
    </w:p>
    <w:p w:rsidR="00E67293" w:rsidRPr="00E51FB8" w:rsidRDefault="00E67293" w:rsidP="00E67293">
      <w:pPr>
        <w:spacing w:after="0" w:line="240" w:lineRule="auto"/>
        <w:ind w:firstLine="720"/>
        <w:jc w:val="both"/>
        <w:rPr>
          <w:rFonts w:ascii="Times New Roman" w:eastAsia="Calibri" w:hAnsi="Times New Roman" w:cs="Times New Roman"/>
          <w:sz w:val="24"/>
          <w:szCs w:val="24"/>
        </w:rPr>
      </w:pPr>
      <w:proofErr w:type="gramStart"/>
      <w:r w:rsidRPr="00E51FB8">
        <w:rPr>
          <w:rFonts w:ascii="Times New Roman" w:eastAsia="Calibri" w:hAnsi="Times New Roman" w:cs="Times New Roman"/>
          <w:sz w:val="24"/>
          <w:szCs w:val="24"/>
        </w:rPr>
        <w:t>2015.gada</w:t>
      </w:r>
      <w:proofErr w:type="gramEnd"/>
      <w:r w:rsidRPr="00E51FB8">
        <w:rPr>
          <w:rFonts w:ascii="Times New Roman" w:eastAsia="Calibri" w:hAnsi="Times New Roman" w:cs="Times New Roman"/>
          <w:sz w:val="24"/>
          <w:szCs w:val="24"/>
        </w:rPr>
        <w:t xml:space="preserve"> Tukuma pašvaldības budžeta ieņēmumu un izdevumu daļa ir sagatavota sabalansēta un lielākais atbalsts ir plānots izglītībai, kultūrai, sportam un pašvaldības teritorijas un mājokļu sakārtošanai. Šīs sfēras ir noteiktas par prioritārām šogad. Tāpat galvenais uzsvars novada attīstībai ir plānot un īstenot projektus ar Eiropas Savienības līdzfinansējumu, jo novadā ir nepieciešamas investīcijas infrastruktūrā, izglītības un kultūras iestādēs. </w:t>
      </w:r>
    </w:p>
    <w:p w:rsidR="00E67293" w:rsidRPr="00E51FB8" w:rsidRDefault="00E67293" w:rsidP="00E67293">
      <w:pPr>
        <w:spacing w:after="0" w:line="240" w:lineRule="auto"/>
        <w:ind w:firstLine="720"/>
        <w:jc w:val="both"/>
        <w:rPr>
          <w:rFonts w:ascii="Times New Roman" w:eastAsia="Calibri" w:hAnsi="Times New Roman" w:cs="Times New Roman"/>
          <w:i/>
          <w:sz w:val="24"/>
          <w:szCs w:val="24"/>
        </w:rPr>
      </w:pPr>
    </w:p>
    <w:p w:rsidR="00E67293" w:rsidRPr="00E51FB8" w:rsidRDefault="00E67293" w:rsidP="00E67293">
      <w:pPr>
        <w:spacing w:after="0" w:line="240" w:lineRule="auto"/>
        <w:ind w:firstLine="720"/>
        <w:jc w:val="both"/>
        <w:rPr>
          <w:rFonts w:ascii="Times New Roman" w:eastAsia="Calibri" w:hAnsi="Times New Roman" w:cs="Times New Roman"/>
          <w:i/>
          <w:sz w:val="24"/>
          <w:szCs w:val="24"/>
        </w:rPr>
      </w:pPr>
      <w:r w:rsidRPr="00E51FB8">
        <w:rPr>
          <w:rFonts w:ascii="Times New Roman" w:eastAsia="Calibri" w:hAnsi="Times New Roman" w:cs="Times New Roman"/>
          <w:i/>
          <w:sz w:val="24"/>
          <w:szCs w:val="24"/>
        </w:rPr>
        <w:t xml:space="preserve">2. Informācija par izdevumu kopējo apjomu katrā budžeta klasifikācijas kategorijā un finansējuma mērķis parādīti pielikumos (Tukuma novada </w:t>
      </w:r>
      <w:proofErr w:type="gramStart"/>
      <w:r w:rsidRPr="00E51FB8">
        <w:rPr>
          <w:rFonts w:ascii="Times New Roman" w:eastAsia="Calibri" w:hAnsi="Times New Roman" w:cs="Times New Roman"/>
          <w:i/>
          <w:sz w:val="24"/>
          <w:szCs w:val="24"/>
        </w:rPr>
        <w:t>2015.gada</w:t>
      </w:r>
      <w:proofErr w:type="gramEnd"/>
      <w:r w:rsidRPr="00E51FB8">
        <w:rPr>
          <w:rFonts w:ascii="Times New Roman" w:eastAsia="Calibri" w:hAnsi="Times New Roman" w:cs="Times New Roman"/>
          <w:i/>
          <w:sz w:val="24"/>
          <w:szCs w:val="24"/>
        </w:rPr>
        <w:t xml:space="preserve"> pamatbudžeta izdevumu finansēšanas plāns</w:t>
      </w:r>
      <w:r>
        <w:rPr>
          <w:rFonts w:ascii="Times New Roman" w:eastAsia="Calibri" w:hAnsi="Times New Roman" w:cs="Times New Roman"/>
          <w:i/>
          <w:sz w:val="24"/>
          <w:szCs w:val="24"/>
        </w:rPr>
        <w:t>,</w:t>
      </w:r>
      <w:r w:rsidRPr="00E51FB8">
        <w:rPr>
          <w:rFonts w:ascii="Times New Roman" w:eastAsia="Calibri" w:hAnsi="Times New Roman" w:cs="Times New Roman"/>
          <w:i/>
          <w:sz w:val="24"/>
          <w:szCs w:val="24"/>
        </w:rPr>
        <w:t xml:space="preserve"> 1.tabula, Tukuma novada 2015.gada speciālā budžeta un ziedojumu un dāvinājumu plāns 2. un 3.tabula).</w:t>
      </w:r>
    </w:p>
    <w:p w:rsidR="00E67293" w:rsidRPr="00E51FB8" w:rsidRDefault="00E67293" w:rsidP="00E67293">
      <w:pPr>
        <w:spacing w:after="0" w:line="240" w:lineRule="auto"/>
        <w:ind w:firstLine="720"/>
        <w:jc w:val="both"/>
        <w:rPr>
          <w:rFonts w:ascii="Times New Roman" w:eastAsia="Calibri" w:hAnsi="Times New Roman" w:cs="Times New Roman"/>
          <w:sz w:val="24"/>
          <w:szCs w:val="24"/>
        </w:rPr>
      </w:pPr>
    </w:p>
    <w:p w:rsidR="00E67293" w:rsidRPr="00E51FB8" w:rsidRDefault="00E67293" w:rsidP="00E67293">
      <w:pPr>
        <w:spacing w:after="0" w:line="240" w:lineRule="auto"/>
        <w:ind w:firstLine="720"/>
        <w:jc w:val="both"/>
        <w:rPr>
          <w:rFonts w:ascii="Times New Roman" w:eastAsia="Calibri" w:hAnsi="Times New Roman" w:cs="Times New Roman"/>
          <w:i/>
          <w:sz w:val="24"/>
          <w:szCs w:val="24"/>
        </w:rPr>
      </w:pPr>
      <w:r w:rsidRPr="00E51FB8">
        <w:rPr>
          <w:rFonts w:ascii="Times New Roman" w:eastAsia="Calibri" w:hAnsi="Times New Roman" w:cs="Times New Roman"/>
          <w:i/>
          <w:sz w:val="24"/>
          <w:szCs w:val="24"/>
        </w:rPr>
        <w:t xml:space="preserve">3. Aizņēmumu un galvojumu finansiālās saistības un procentuālā ietekme uz Tukuma novada budžetu </w:t>
      </w:r>
      <w:proofErr w:type="gramStart"/>
      <w:r w:rsidRPr="00E51FB8">
        <w:rPr>
          <w:rFonts w:ascii="Times New Roman" w:eastAsia="Calibri" w:hAnsi="Times New Roman" w:cs="Times New Roman"/>
          <w:i/>
          <w:sz w:val="24"/>
          <w:szCs w:val="24"/>
        </w:rPr>
        <w:t>2015.gadā</w:t>
      </w:r>
      <w:proofErr w:type="gramEnd"/>
      <w:r w:rsidRPr="00E51FB8">
        <w:rPr>
          <w:rFonts w:ascii="Times New Roman" w:eastAsia="Calibri" w:hAnsi="Times New Roman" w:cs="Times New Roman"/>
          <w:i/>
          <w:sz w:val="24"/>
          <w:szCs w:val="24"/>
        </w:rPr>
        <w:t xml:space="preserve"> un turpmākajos gados parādītas pielikumā (4.tabula).</w:t>
      </w:r>
    </w:p>
    <w:p w:rsidR="00E67293" w:rsidRDefault="00E67293" w:rsidP="00E67293">
      <w:pPr>
        <w:spacing w:after="0" w:line="240" w:lineRule="auto"/>
        <w:ind w:firstLine="720"/>
        <w:jc w:val="both"/>
        <w:rPr>
          <w:rFonts w:ascii="Times New Roman" w:eastAsia="Calibri" w:hAnsi="Times New Roman" w:cs="Times New Roman"/>
          <w:i/>
          <w:sz w:val="24"/>
          <w:szCs w:val="24"/>
        </w:rPr>
      </w:pPr>
    </w:p>
    <w:p w:rsidR="00E67293" w:rsidRPr="00E51FB8" w:rsidRDefault="00E67293" w:rsidP="00E67293">
      <w:pPr>
        <w:spacing w:after="0" w:line="240" w:lineRule="auto"/>
        <w:ind w:firstLine="720"/>
        <w:jc w:val="both"/>
        <w:rPr>
          <w:rFonts w:ascii="Times New Roman" w:eastAsia="Calibri" w:hAnsi="Times New Roman" w:cs="Times New Roman"/>
          <w:b/>
          <w:i/>
          <w:color w:val="FF0000"/>
          <w:sz w:val="24"/>
          <w:szCs w:val="24"/>
        </w:rPr>
      </w:pPr>
      <w:r w:rsidRPr="00E51FB8">
        <w:rPr>
          <w:rFonts w:ascii="Times New Roman" w:eastAsia="Calibri" w:hAnsi="Times New Roman" w:cs="Times New Roman"/>
          <w:i/>
          <w:sz w:val="24"/>
          <w:szCs w:val="24"/>
        </w:rPr>
        <w:t>4. Tukuma novada 2015. un turpmāko gadu prioritātes.</w:t>
      </w:r>
    </w:p>
    <w:p w:rsidR="00E67293" w:rsidRPr="00E51FB8" w:rsidRDefault="00E67293" w:rsidP="00E67293">
      <w:pPr>
        <w:spacing w:after="0" w:line="240" w:lineRule="auto"/>
        <w:jc w:val="both"/>
        <w:rPr>
          <w:rFonts w:ascii="Times New Roman" w:eastAsia="Times New Roman" w:hAnsi="Times New Roman" w:cs="Times New Roman"/>
          <w:b/>
          <w:bCs/>
          <w:color w:val="000000"/>
          <w:sz w:val="24"/>
          <w:szCs w:val="24"/>
          <w:lang w:eastAsia="lv-LV"/>
        </w:rPr>
      </w:pPr>
      <w:r w:rsidRPr="00E51FB8">
        <w:rPr>
          <w:rFonts w:ascii="Times New Roman" w:eastAsia="Calibri" w:hAnsi="Times New Roman" w:cs="Times New Roman"/>
          <w:sz w:val="24"/>
          <w:szCs w:val="24"/>
        </w:rPr>
        <w:tab/>
        <w:t xml:space="preserve">Tukuma novada Dome ir noteikusi galvenos Tukuma novada Domes iestāžu </w:t>
      </w:r>
      <w:proofErr w:type="gramStart"/>
      <w:r w:rsidRPr="00E51FB8">
        <w:rPr>
          <w:rFonts w:ascii="Times New Roman" w:eastAsia="Calibri" w:hAnsi="Times New Roman" w:cs="Times New Roman"/>
          <w:sz w:val="24"/>
          <w:szCs w:val="24"/>
        </w:rPr>
        <w:t>2015.gada</w:t>
      </w:r>
      <w:proofErr w:type="gramEnd"/>
      <w:r w:rsidRPr="00E51FB8">
        <w:rPr>
          <w:rFonts w:ascii="Times New Roman" w:eastAsia="Calibri" w:hAnsi="Times New Roman" w:cs="Times New Roman"/>
          <w:sz w:val="24"/>
          <w:szCs w:val="24"/>
        </w:rPr>
        <w:t xml:space="preserve"> un turpmāko gadu prioritātes par kopējo summu </w:t>
      </w:r>
      <w:r w:rsidRPr="00E51FB8">
        <w:rPr>
          <w:rFonts w:ascii="Times New Roman" w:eastAsia="Times New Roman" w:hAnsi="Times New Roman" w:cs="Times New Roman"/>
          <w:bCs/>
          <w:color w:val="000000"/>
          <w:sz w:val="24"/>
          <w:szCs w:val="24"/>
          <w:lang w:eastAsia="lv-LV"/>
        </w:rPr>
        <w:t xml:space="preserve">2 456 307 </w:t>
      </w:r>
      <w:proofErr w:type="spellStart"/>
      <w:r w:rsidRPr="00E51FB8">
        <w:rPr>
          <w:rFonts w:ascii="Times New Roman" w:eastAsia="Calibri" w:hAnsi="Times New Roman" w:cs="Times New Roman"/>
          <w:i/>
          <w:sz w:val="24"/>
          <w:szCs w:val="24"/>
        </w:rPr>
        <w:t>euro</w:t>
      </w:r>
      <w:proofErr w:type="spellEnd"/>
      <w:r w:rsidRPr="00E51FB8">
        <w:rPr>
          <w:rFonts w:ascii="Times New Roman" w:eastAsia="Calibri" w:hAnsi="Times New Roman" w:cs="Times New Roman"/>
          <w:sz w:val="24"/>
          <w:szCs w:val="24"/>
        </w:rPr>
        <w:t>, atšifrējums pielikumā (5.tabula). Pie budžeta ieņēmumu palielināšanas deputāti ar Domes lēmumu veic budžeta grozījumus par finansējuma piešķiršanu kādai no prioritātēm.</w:t>
      </w:r>
    </w:p>
    <w:p w:rsidR="00E67293" w:rsidRDefault="00E67293" w:rsidP="00E67293">
      <w:pPr>
        <w:spacing w:after="0" w:line="240" w:lineRule="auto"/>
        <w:rPr>
          <w:rFonts w:ascii="Times New Roman" w:eastAsia="Times New Roman" w:hAnsi="Times New Roman" w:cs="Times New Roman"/>
          <w:sz w:val="24"/>
          <w:szCs w:val="20"/>
          <w:lang w:val="de-DE" w:eastAsia="lv-LV"/>
        </w:rPr>
      </w:pPr>
    </w:p>
    <w:p w:rsidR="00E67293" w:rsidRDefault="00E67293" w:rsidP="00E67293">
      <w:pPr>
        <w:spacing w:after="0" w:line="240" w:lineRule="auto"/>
        <w:rPr>
          <w:rFonts w:ascii="Times New Roman" w:eastAsia="Times New Roman" w:hAnsi="Times New Roman" w:cs="Times New Roman"/>
          <w:sz w:val="24"/>
          <w:szCs w:val="20"/>
          <w:lang w:val="de-DE" w:eastAsia="lv-LV"/>
        </w:rPr>
      </w:pPr>
    </w:p>
    <w:p w:rsidR="00E67293" w:rsidRDefault="00E67293" w:rsidP="00E67293">
      <w:pPr>
        <w:spacing w:after="0" w:line="240" w:lineRule="auto"/>
        <w:rPr>
          <w:rFonts w:ascii="Times New Roman" w:eastAsia="Times New Roman" w:hAnsi="Times New Roman" w:cs="Times New Roman"/>
          <w:sz w:val="24"/>
          <w:szCs w:val="20"/>
          <w:lang w:val="de-DE" w:eastAsia="lv-LV"/>
        </w:rPr>
      </w:pPr>
    </w:p>
    <w:p w:rsidR="00E67293" w:rsidRPr="003D6B09" w:rsidRDefault="00E67293" w:rsidP="00E67293">
      <w:pPr>
        <w:spacing w:after="0" w:line="240" w:lineRule="auto"/>
        <w:jc w:val="both"/>
        <w:rPr>
          <w:rFonts w:ascii="Times New Roman" w:eastAsia="Times New Roman" w:hAnsi="Times New Roman" w:cs="Times New Roman"/>
          <w:sz w:val="24"/>
          <w:szCs w:val="24"/>
          <w:lang w:eastAsia="da-DK"/>
        </w:rPr>
      </w:pPr>
      <w:r w:rsidRPr="003D6B09">
        <w:rPr>
          <w:rFonts w:ascii="Times New Roman" w:eastAsia="Times New Roman" w:hAnsi="Times New Roman" w:cs="Times New Roman"/>
          <w:sz w:val="24"/>
          <w:szCs w:val="24"/>
          <w:lang w:eastAsia="da-DK"/>
        </w:rPr>
        <w:t>Domes priekšsēdētājs</w:t>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t xml:space="preserve"> </w:t>
      </w:r>
      <w:r>
        <w:rPr>
          <w:rFonts w:ascii="Times New Roman" w:eastAsia="Times New Roman" w:hAnsi="Times New Roman" w:cs="Times New Roman"/>
          <w:sz w:val="24"/>
          <w:szCs w:val="24"/>
          <w:lang w:eastAsia="da-DK"/>
        </w:rPr>
        <w:tab/>
      </w:r>
      <w:r>
        <w:rPr>
          <w:rFonts w:ascii="Times New Roman" w:eastAsia="Times New Roman" w:hAnsi="Times New Roman" w:cs="Times New Roman"/>
          <w:sz w:val="24"/>
          <w:szCs w:val="24"/>
          <w:lang w:eastAsia="da-DK"/>
        </w:rPr>
        <w:tab/>
      </w:r>
      <w:proofErr w:type="spellStart"/>
      <w:r>
        <w:rPr>
          <w:rFonts w:ascii="Times New Roman" w:eastAsia="Times New Roman" w:hAnsi="Times New Roman" w:cs="Times New Roman"/>
          <w:sz w:val="24"/>
          <w:szCs w:val="24"/>
          <w:lang w:eastAsia="da-DK"/>
        </w:rPr>
        <w:t>Ē.Lukmans</w:t>
      </w:r>
      <w:proofErr w:type="spellEnd"/>
    </w:p>
    <w:p w:rsidR="002F75FE" w:rsidRPr="00E67293" w:rsidRDefault="002F75FE" w:rsidP="00E67293">
      <w:pPr>
        <w:spacing w:after="0" w:line="240" w:lineRule="auto"/>
        <w:rPr>
          <w:rFonts w:ascii="Times New Roman" w:eastAsia="Times New Roman" w:hAnsi="Times New Roman" w:cs="Times New Roman"/>
          <w:sz w:val="24"/>
          <w:szCs w:val="20"/>
          <w:lang w:val="de-DE" w:eastAsia="lv-LV"/>
        </w:rPr>
      </w:pPr>
    </w:p>
    <w:sectPr w:rsidR="002F75FE" w:rsidRPr="00E67293"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93"/>
    <w:rsid w:val="002F75FE"/>
    <w:rsid w:val="009F59B6"/>
    <w:rsid w:val="00E672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94D71-F6E5-46DC-BE2D-814BC5DC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293"/>
    <w:pPr>
      <w:spacing w:after="200" w:line="276" w:lineRule="auto"/>
      <w:ind w:firstLine="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2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hyperlink" Target="http://m.likumi.lv/doc.php?id=34703" TargetMode="External"/><Relationship Id="rId10" Type="http://schemas.openxmlformats.org/officeDocument/2006/relationships/theme" Target="theme/theme1.xml"/><Relationship Id="rId4" Type="http://schemas.openxmlformats.org/officeDocument/2006/relationships/hyperlink" Target="http://m.likumi.lv/doc.php?id=57255" TargetMode="Externa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0.11844391828643797"/>
          <c:w val="0.94462041928303753"/>
          <c:h val="0.87966227997724056"/>
        </c:manualLayout>
      </c:layout>
      <c:pie3DChart>
        <c:varyColors val="1"/>
        <c:ser>
          <c:idx val="0"/>
          <c:order val="0"/>
          <c:tx>
            <c:strRef>
              <c:f>Sheet1!$B$1</c:f>
              <c:strCache>
                <c:ptCount val="1"/>
                <c:pt idx="0">
                  <c:v>Column1</c:v>
                </c:pt>
              </c:strCache>
            </c:strRef>
          </c:tx>
          <c:explosion val="12"/>
          <c:dLbls>
            <c:dLbl>
              <c:idx val="1"/>
              <c:layout>
                <c:manualLayout>
                  <c:x val="4.7144589521246789E-2"/>
                  <c:y val="-7.9533799533799923E-2"/>
                </c:manualLayout>
              </c:layout>
              <c:showLegendKey val="0"/>
              <c:showVal val="1"/>
              <c:showCatName val="1"/>
              <c:showSerName val="0"/>
              <c:showPercent val="1"/>
              <c:showBubbleSize val="0"/>
              <c:extLst>
                <c:ext xmlns:c15="http://schemas.microsoft.com/office/drawing/2012/chart" uri="{CE6537A1-D6FC-4f65-9D91-7224C49458BB}"/>
              </c:extLst>
            </c:dLbl>
            <c:dLbl>
              <c:idx val="2"/>
              <c:layout>
                <c:manualLayout>
                  <c:x val="6.1737931492741203E-3"/>
                  <c:y val="-2.7505827505827796E-3"/>
                </c:manualLayout>
              </c:layout>
              <c:tx>
                <c:rich>
                  <a:bodyPr/>
                  <a:lstStyle/>
                  <a:p>
                    <a:r>
                      <a:rPr lang="lv-LV"/>
                      <a:t>Azartspēļu nodoklis
106 715</a:t>
                    </a:r>
                  </a:p>
                </c:rich>
              </c:tx>
              <c:showLegendKey val="0"/>
              <c:showVal val="1"/>
              <c:showCatName val="1"/>
              <c:showSerName val="0"/>
              <c:showPercent val="1"/>
              <c:showBubbleSize val="0"/>
              <c:extLst>
                <c:ext xmlns:c15="http://schemas.microsoft.com/office/drawing/2012/chart" uri="{CE6537A1-D6FC-4f65-9D91-7224C49458BB}"/>
              </c:extLst>
            </c:dLbl>
            <c:dLbl>
              <c:idx val="3"/>
              <c:layout>
                <c:manualLayout>
                  <c:x val="9.6473387820193199E-2"/>
                  <c:y val="-0.31044289044289247"/>
                </c:manualLayout>
              </c:layout>
              <c:showLegendKey val="0"/>
              <c:showVal val="1"/>
              <c:showCatName val="1"/>
              <c:showSerName val="0"/>
              <c:showPercent val="1"/>
              <c:showBubbleSize val="0"/>
              <c:extLst>
                <c:ext xmlns:c15="http://schemas.microsoft.com/office/drawing/2012/chart" uri="{CE6537A1-D6FC-4f65-9D91-7224C49458BB}"/>
              </c:extLst>
            </c:dLbl>
            <c:dLbl>
              <c:idx val="4"/>
              <c:layout>
                <c:manualLayout>
                  <c:x val="-0.10341074454300807"/>
                  <c:y val="-7.7342657342657342E-2"/>
                </c:manualLayout>
              </c:layout>
              <c:showLegendKey val="0"/>
              <c:showVal val="1"/>
              <c:showCatName val="1"/>
              <c:showSerName val="0"/>
              <c:showPercent val="1"/>
              <c:showBubbleSize val="0"/>
              <c:extLst>
                <c:ext xmlns:c15="http://schemas.microsoft.com/office/drawing/2012/chart" uri="{CE6537A1-D6FC-4f65-9D91-7224C49458BB}"/>
              </c:extLst>
            </c:dLbl>
            <c:dLbl>
              <c:idx val="6"/>
              <c:layout>
                <c:manualLayout>
                  <c:x val="-1.3361241237250495E-2"/>
                  <c:y val="0"/>
                </c:manualLayout>
              </c:layout>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b="1">
                    <a:latin typeface="+mj-lt"/>
                  </a:defRPr>
                </a:pPr>
                <a:endParaRPr lang="lv-LV"/>
              </a:p>
            </c:txPr>
            <c:showLegendKey val="0"/>
            <c:showVal val="1"/>
            <c:showCatName val="1"/>
            <c:showSerName val="0"/>
            <c:showPercent val="1"/>
            <c:showBubbleSize val="0"/>
            <c:showLeaderLines val="0"/>
            <c:extLst>
              <c:ext xmlns:c15="http://schemas.microsoft.com/office/drawing/2012/chart" uri="{CE6537A1-D6FC-4f65-9D91-7224C49458BB}"/>
            </c:extLst>
          </c:dLbls>
          <c:cat>
            <c:strRef>
              <c:f>Sheet1!$A$2:$A$8</c:f>
              <c:strCache>
                <c:ptCount val="7"/>
                <c:pt idx="0">
                  <c:v>Iedzīvotāju ienākuma nodoklis</c:v>
                </c:pt>
                <c:pt idx="1">
                  <c:v>Īpašuma nodokļi</c:v>
                </c:pt>
                <c:pt idx="2">
                  <c:v>Azartspēļu nodoklis</c:v>
                </c:pt>
                <c:pt idx="3">
                  <c:v>Nenodokļu ienākumi</c:v>
                </c:pt>
                <c:pt idx="4">
                  <c:v>Maksas pakalpojumi</c:v>
                </c:pt>
                <c:pt idx="5">
                  <c:v>Valsts budžeta transferti</c:v>
                </c:pt>
                <c:pt idx="6">
                  <c:v>Pašvaldību budžetu transferti</c:v>
                </c:pt>
              </c:strCache>
            </c:strRef>
          </c:cat>
          <c:val>
            <c:numRef>
              <c:f>Sheet1!$B$2:$B$8</c:f>
              <c:numCache>
                <c:formatCode>General</c:formatCode>
                <c:ptCount val="7"/>
                <c:pt idx="0">
                  <c:v>13829771</c:v>
                </c:pt>
                <c:pt idx="1">
                  <c:v>1613619</c:v>
                </c:pt>
                <c:pt idx="2">
                  <c:v>97000</c:v>
                </c:pt>
                <c:pt idx="3">
                  <c:v>305150</c:v>
                </c:pt>
                <c:pt idx="4">
                  <c:v>879425</c:v>
                </c:pt>
                <c:pt idx="5" formatCode="#,##0">
                  <c:v>11521529</c:v>
                </c:pt>
                <c:pt idx="6">
                  <c:v>415631</c:v>
                </c:pt>
              </c:numCache>
            </c:numRef>
          </c:val>
        </c:ser>
        <c:dLbls>
          <c:showLegendKey val="0"/>
          <c:showVal val="0"/>
          <c:showCatName val="1"/>
          <c:showSerName val="0"/>
          <c:showPercent val="1"/>
          <c:showBubbleSize val="0"/>
          <c:showLeaderLines val="0"/>
        </c:dLbls>
      </c:pie3DChart>
    </c:plotArea>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1.7626383658564543E-3"/>
          <c:w val="1"/>
          <c:h val="0.95475908696324485"/>
        </c:manualLayout>
      </c:layout>
      <c:pie3DChart>
        <c:varyColors val="1"/>
        <c:ser>
          <c:idx val="0"/>
          <c:order val="0"/>
          <c:tx>
            <c:strRef>
              <c:f>Sheet1!$B$1</c:f>
              <c:strCache>
                <c:ptCount val="1"/>
                <c:pt idx="0">
                  <c:v>Sales</c:v>
                </c:pt>
              </c:strCache>
            </c:strRef>
          </c:tx>
          <c:explosion val="25"/>
          <c:dPt>
            <c:idx val="9"/>
            <c:bubble3D val="0"/>
            <c:explosion val="7"/>
          </c:dPt>
          <c:dLbls>
            <c:dLbl>
              <c:idx val="0"/>
              <c:layout>
                <c:manualLayout>
                  <c:x val="-0.12584391951006124"/>
                  <c:y val="7.2463768115942344E-4"/>
                </c:manualLayout>
              </c:layout>
              <c:showLegendKey val="0"/>
              <c:showVal val="1"/>
              <c:showCatName val="1"/>
              <c:showSerName val="0"/>
              <c:showPercent val="1"/>
              <c:showBubbleSize val="0"/>
              <c:extLst>
                <c:ext xmlns:c15="http://schemas.microsoft.com/office/drawing/2012/chart" uri="{CE6537A1-D6FC-4f65-9D91-7224C49458BB}"/>
              </c:extLst>
            </c:dLbl>
            <c:dLbl>
              <c:idx val="1"/>
              <c:layout>
                <c:manualLayout>
                  <c:x val="-0.11442747156605426"/>
                  <c:y val="0.13623188405797157"/>
                </c:manualLayout>
              </c:layout>
              <c:showLegendKey val="0"/>
              <c:showVal val="1"/>
              <c:showCatName val="1"/>
              <c:showSerName val="0"/>
              <c:showPercent val="1"/>
              <c:showBubbleSize val="0"/>
              <c:extLst>
                <c:ext xmlns:c15="http://schemas.microsoft.com/office/drawing/2012/chart" uri="{CE6537A1-D6FC-4f65-9D91-7224C49458BB}"/>
              </c:extLst>
            </c:dLbl>
            <c:dLbl>
              <c:idx val="3"/>
              <c:layout>
                <c:manualLayout>
                  <c:x val="9.6754461315860074E-2"/>
                  <c:y val="-6.0202506602461792E-2"/>
                </c:manualLayout>
              </c:layout>
              <c:showLegendKey val="0"/>
              <c:showVal val="1"/>
              <c:showCatName val="1"/>
              <c:showSerName val="0"/>
              <c:showPercent val="1"/>
              <c:showBubbleSize val="0"/>
              <c:extLst>
                <c:ext xmlns:c15="http://schemas.microsoft.com/office/drawing/2012/chart" uri="{CE6537A1-D6FC-4f65-9D91-7224C49458BB}"/>
              </c:extLst>
            </c:dLbl>
            <c:dLbl>
              <c:idx val="4"/>
              <c:layout>
                <c:manualLayout>
                  <c:x val="7.5503190923477084E-2"/>
                  <c:y val="4.0203253170581495E-2"/>
                </c:manualLayout>
              </c:layout>
              <c:showLegendKey val="0"/>
              <c:showVal val="1"/>
              <c:showCatName val="1"/>
              <c:showSerName val="0"/>
              <c:showPercent val="1"/>
              <c:showBubbleSize val="0"/>
              <c:extLst>
                <c:ext xmlns:c15="http://schemas.microsoft.com/office/drawing/2012/chart" uri="{CE6537A1-D6FC-4f65-9D91-7224C49458BB}"/>
              </c:extLst>
            </c:dLbl>
            <c:dLbl>
              <c:idx val="5"/>
              <c:layout>
                <c:manualLayout>
                  <c:x val="7.4005494405385924E-2"/>
                  <c:y val="0.10684117696464072"/>
                </c:manualLayout>
              </c:layout>
              <c:showLegendKey val="0"/>
              <c:showVal val="1"/>
              <c:showCatName val="1"/>
              <c:showSerName val="0"/>
              <c:showPercent val="1"/>
              <c:showBubbleSize val="0"/>
              <c:extLst>
                <c:ext xmlns:c15="http://schemas.microsoft.com/office/drawing/2012/chart" uri="{CE6537A1-D6FC-4f65-9D91-7224C49458BB}"/>
              </c:extLst>
            </c:dLbl>
            <c:dLbl>
              <c:idx val="6"/>
              <c:layout>
                <c:manualLayout>
                  <c:x val="-0.18222222222222262"/>
                  <c:y val="0.28732808398950377"/>
                </c:manualLayout>
              </c:layout>
              <c:showLegendKey val="0"/>
              <c:showVal val="1"/>
              <c:showCatName val="1"/>
              <c:showSerName val="0"/>
              <c:showPercent val="1"/>
              <c:showBubbleSize val="0"/>
              <c:extLst>
                <c:ext xmlns:c15="http://schemas.microsoft.com/office/drawing/2012/chart" uri="{CE6537A1-D6FC-4f65-9D91-7224C49458BB}"/>
              </c:extLst>
            </c:dLbl>
            <c:dLbl>
              <c:idx val="7"/>
              <c:layout>
                <c:manualLayout>
                  <c:x val="3.7475186520487492E-3"/>
                  <c:y val="0.16033483580167421"/>
                </c:manualLayout>
              </c:layout>
              <c:tx>
                <c:rich>
                  <a:bodyPr/>
                  <a:lstStyle/>
                  <a:p>
                    <a:r>
                      <a:rPr lang="en-US"/>
                      <a:t>Veselība
46</a:t>
                    </a:r>
                    <a:r>
                      <a:rPr lang="en-US" baseline="0"/>
                      <a:t> 349</a:t>
                    </a:r>
                    <a:endParaRPr lang="en-US"/>
                  </a:p>
                </c:rich>
              </c:tx>
              <c:showLegendKey val="0"/>
              <c:showVal val="1"/>
              <c:showCatName val="1"/>
              <c:showSerName val="0"/>
              <c:showPercent val="1"/>
              <c:showBubbleSize val="0"/>
              <c:extLst>
                <c:ext xmlns:c15="http://schemas.microsoft.com/office/drawing/2012/chart" uri="{CE6537A1-D6FC-4f65-9D91-7224C49458BB}"/>
              </c:extLst>
            </c:dLbl>
            <c:dLbl>
              <c:idx val="8"/>
              <c:layout>
                <c:manualLayout>
                  <c:x val="-0.15550393700787396"/>
                  <c:y val="-0.2024069382631519"/>
                </c:manualLayout>
              </c:layout>
              <c:tx>
                <c:rich>
                  <a:bodyPr/>
                  <a:lstStyle/>
                  <a:p>
                    <a:r>
                      <a:rPr lang="en-US" sz="900" baseline="0" dirty="0" smtClean="0"/>
                      <a:t>NVO, kultūra un sports</a:t>
                    </a:r>
                    <a:r>
                      <a:rPr lang="en-US" sz="900" dirty="0"/>
                      <a:t>
3 769 471
13%</a:t>
                    </a:r>
                  </a:p>
                </c:rich>
              </c:tx>
              <c:showLegendKey val="0"/>
              <c:showVal val="1"/>
              <c:showCatName val="1"/>
              <c:showSerName val="0"/>
              <c:showPercent val="1"/>
              <c:showBubbleSize val="0"/>
              <c:extLst>
                <c:ext xmlns:c15="http://schemas.microsoft.com/office/drawing/2012/chart" uri="{CE6537A1-D6FC-4f65-9D91-7224C49458BB}"/>
              </c:extLst>
            </c:dLbl>
            <c:dLbl>
              <c:idx val="10"/>
              <c:layout>
                <c:manualLayout>
                  <c:x val="-5.4974278215223112E-2"/>
                  <c:y val="6.0559853931302067E-2"/>
                </c:manualLayout>
              </c:layout>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900" b="1" i="0" baseline="0">
                    <a:latin typeface="Cambria" pitchFamily="18" charset="0"/>
                  </a:defRPr>
                </a:pPr>
                <a:endParaRPr lang="lv-LV"/>
              </a:p>
            </c:txPr>
            <c:showLegendKey val="0"/>
            <c:showVal val="1"/>
            <c:showCatName val="1"/>
            <c:showSerName val="0"/>
            <c:showPercent val="1"/>
            <c:showBubbleSize val="0"/>
            <c:showLeaderLines val="1"/>
            <c:extLst>
              <c:ext xmlns:c15="http://schemas.microsoft.com/office/drawing/2012/chart" uri="{CE6537A1-D6FC-4f65-9D91-7224C49458BB}"/>
            </c:extLst>
          </c:dLbls>
          <c:cat>
            <c:strRef>
              <c:f>Sheet1!$A$2:$A$12</c:f>
              <c:strCache>
                <c:ptCount val="11"/>
                <c:pt idx="0">
                  <c:v>Pārvalde</c:v>
                </c:pt>
                <c:pt idx="1">
                  <c:v>Procentu maksājumi par aizņēmumiem</c:v>
                </c:pt>
                <c:pt idx="2">
                  <c:v>Rezerves fonds</c:v>
                </c:pt>
                <c:pt idx="3">
                  <c:v>Sabiedriskā kārtība un drošība</c:v>
                </c:pt>
                <c:pt idx="4">
                  <c:v>Ekonomiskā darbība</c:v>
                </c:pt>
                <c:pt idx="5">
                  <c:v>Vides aizsardzība</c:v>
                </c:pt>
                <c:pt idx="6">
                  <c:v>Teritoriju un mājokļu apsaimniekošana</c:v>
                </c:pt>
                <c:pt idx="7">
                  <c:v>Veselība</c:v>
                </c:pt>
                <c:pt idx="8">
                  <c:v>Atpūta un kultūra</c:v>
                </c:pt>
                <c:pt idx="9">
                  <c:v>Izglītība</c:v>
                </c:pt>
                <c:pt idx="10">
                  <c:v>Sociālā aizsardzība</c:v>
                </c:pt>
              </c:strCache>
            </c:strRef>
          </c:cat>
          <c:val>
            <c:numRef>
              <c:f>Sheet1!$B$2:$B$12</c:f>
              <c:numCache>
                <c:formatCode>#,##0</c:formatCode>
                <c:ptCount val="11"/>
                <c:pt idx="0">
                  <c:v>2579696</c:v>
                </c:pt>
                <c:pt idx="1">
                  <c:v>188191</c:v>
                </c:pt>
                <c:pt idx="2">
                  <c:v>423261</c:v>
                </c:pt>
                <c:pt idx="3">
                  <c:v>387948</c:v>
                </c:pt>
                <c:pt idx="4">
                  <c:v>1029079</c:v>
                </c:pt>
                <c:pt idx="5">
                  <c:v>392133</c:v>
                </c:pt>
                <c:pt idx="6">
                  <c:v>3247854</c:v>
                </c:pt>
                <c:pt idx="7">
                  <c:v>52099</c:v>
                </c:pt>
                <c:pt idx="8">
                  <c:v>3584615</c:v>
                </c:pt>
                <c:pt idx="9">
                  <c:v>15317517</c:v>
                </c:pt>
                <c:pt idx="10">
                  <c:v>2620778</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txPr>
    <a:bodyPr/>
    <a:lstStyle/>
    <a:p>
      <a:pPr>
        <a:defRPr sz="1800"/>
      </a:pPr>
      <a:endParaRPr lang="lv-LV"/>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pie3DChart>
        <c:varyColors val="1"/>
        <c:ser>
          <c:idx val="0"/>
          <c:order val="0"/>
          <c:dLbls>
            <c:dLbl>
              <c:idx val="0"/>
              <c:layout>
                <c:manualLayout>
                  <c:x val="-3.3186291370782932E-2"/>
                  <c:y val="-1.424249052201808E-3"/>
                </c:manualLayout>
              </c:layout>
              <c:tx>
                <c:rich>
                  <a:bodyPr/>
                  <a:lstStyle/>
                  <a:p>
                    <a:r>
                      <a:rPr lang="en-US"/>
                      <a:t>Irlava-Lestene; </a:t>
                    </a:r>
                  </a:p>
                  <a:p>
                    <a:r>
                      <a:rPr lang="en-US"/>
                      <a:t>  82 511; 9%</a:t>
                    </a:r>
                  </a:p>
                </c:rich>
              </c:tx>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1"/>
            <c:showSerName val="0"/>
            <c:showPercent val="1"/>
            <c:showBubbleSize val="0"/>
            <c:showLeaderLines val="0"/>
            <c:extLst>
              <c:ext xmlns:c15="http://schemas.microsoft.com/office/drawing/2012/chart" uri="{CE6537A1-D6FC-4f65-9D91-7224C49458BB}"/>
            </c:extLst>
          </c:dLbls>
          <c:cat>
            <c:strRef>
              <c:f>'[Chart in Microsoft Word]Sheet1'!$A$2:$A$8</c:f>
              <c:strCache>
                <c:ptCount val="7"/>
                <c:pt idx="0">
                  <c:v>Irlava-Lestene</c:v>
                </c:pt>
                <c:pt idx="1">
                  <c:v>Pūre-Jaunsāti</c:v>
                </c:pt>
                <c:pt idx="2">
                  <c:v>Sēme-Zentene</c:v>
                </c:pt>
                <c:pt idx="3">
                  <c:v>Slampe-Džūkste</c:v>
                </c:pt>
                <c:pt idx="4">
                  <c:v>Tume-Degole</c:v>
                </c:pt>
                <c:pt idx="5">
                  <c:v>Tukums</c:v>
                </c:pt>
                <c:pt idx="6">
                  <c:v>Rezerves fonds</c:v>
                </c:pt>
              </c:strCache>
            </c:strRef>
          </c:cat>
          <c:val>
            <c:numRef>
              <c:f>'[Chart in Microsoft Word]Sheet1'!$B$2:$B$8</c:f>
              <c:numCache>
                <c:formatCode>#,##0</c:formatCode>
                <c:ptCount val="7"/>
                <c:pt idx="0">
                  <c:v>82511</c:v>
                </c:pt>
                <c:pt idx="1">
                  <c:v>102857</c:v>
                </c:pt>
                <c:pt idx="2">
                  <c:v>65603</c:v>
                </c:pt>
                <c:pt idx="3">
                  <c:v>139495</c:v>
                </c:pt>
                <c:pt idx="4" formatCode="General">
                  <c:v>82936</c:v>
                </c:pt>
                <c:pt idx="5">
                  <c:v>397502</c:v>
                </c:pt>
                <c:pt idx="6">
                  <c:v>13503</c:v>
                </c:pt>
              </c:numCache>
            </c:numRef>
          </c:val>
        </c:ser>
        <c:dLbls>
          <c:showLegendKey val="0"/>
          <c:showVal val="0"/>
          <c:showCatName val="0"/>
          <c:showSerName val="0"/>
          <c:showPercent val="0"/>
          <c:showBubbleSize val="0"/>
          <c:showLeaderLines val="0"/>
        </c:dLbls>
      </c:pie3DChart>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7</Pages>
  <Words>10845</Words>
  <Characters>6182</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2015-02-05T07:40:00Z</dcterms:created>
  <dcterms:modified xsi:type="dcterms:W3CDTF">2015-02-05T07:45:00Z</dcterms:modified>
</cp:coreProperties>
</file>