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56" w:rsidRDefault="00833B56" w:rsidP="00833B56">
      <w:pPr>
        <w:rPr>
          <w:rFonts w:ascii="Times New Roman" w:hAnsi="Times New Roman" w:cs="Times New Roman"/>
          <w:b/>
          <w:sz w:val="24"/>
          <w:szCs w:val="24"/>
        </w:rPr>
      </w:pPr>
    </w:p>
    <w:p w:rsidR="009941EB" w:rsidRPr="009B21DE" w:rsidRDefault="0099572A" w:rsidP="002402B6">
      <w:pPr>
        <w:jc w:val="center"/>
        <w:rPr>
          <w:rFonts w:ascii="Times New Roman" w:hAnsi="Times New Roman" w:cs="Times New Roman"/>
          <w:b/>
          <w:sz w:val="24"/>
          <w:szCs w:val="24"/>
        </w:rPr>
      </w:pPr>
      <w:r>
        <w:rPr>
          <w:rFonts w:ascii="Times New Roman" w:hAnsi="Times New Roman" w:cs="Times New Roman"/>
          <w:b/>
          <w:sz w:val="24"/>
          <w:szCs w:val="24"/>
        </w:rPr>
        <w:t>Paskaidrojuma raksts</w:t>
      </w:r>
      <w:r w:rsidR="00F866E8">
        <w:rPr>
          <w:rFonts w:ascii="Times New Roman" w:hAnsi="Times New Roman" w:cs="Times New Roman"/>
          <w:b/>
          <w:sz w:val="24"/>
          <w:szCs w:val="24"/>
        </w:rPr>
        <w:t xml:space="preserve"> Tukuma novada pašvaldības 201</w:t>
      </w:r>
      <w:r w:rsidR="00596504">
        <w:rPr>
          <w:rFonts w:ascii="Times New Roman" w:hAnsi="Times New Roman" w:cs="Times New Roman"/>
          <w:b/>
          <w:sz w:val="24"/>
          <w:szCs w:val="24"/>
        </w:rPr>
        <w:t>7</w:t>
      </w:r>
      <w:r w:rsidR="009941EB" w:rsidRPr="009B21DE">
        <w:rPr>
          <w:rFonts w:ascii="Times New Roman" w:hAnsi="Times New Roman" w:cs="Times New Roman"/>
          <w:b/>
          <w:sz w:val="24"/>
          <w:szCs w:val="24"/>
        </w:rPr>
        <w:t>.gada budžeta</w:t>
      </w:r>
      <w:r>
        <w:rPr>
          <w:rFonts w:ascii="Times New Roman" w:hAnsi="Times New Roman" w:cs="Times New Roman"/>
          <w:b/>
          <w:sz w:val="24"/>
          <w:szCs w:val="24"/>
        </w:rPr>
        <w:t>m</w:t>
      </w:r>
    </w:p>
    <w:p w:rsidR="002402B6" w:rsidRPr="009B21DE" w:rsidRDefault="002402B6" w:rsidP="002402B6">
      <w:pPr>
        <w:ind w:firstLine="720"/>
        <w:jc w:val="both"/>
        <w:rPr>
          <w:rFonts w:ascii="Times New Roman" w:hAnsi="Times New Roman" w:cs="Times New Roman"/>
          <w:sz w:val="24"/>
          <w:szCs w:val="24"/>
        </w:rPr>
      </w:pPr>
    </w:p>
    <w:p w:rsidR="00511457" w:rsidRDefault="002402B6" w:rsidP="002402B6">
      <w:pPr>
        <w:ind w:firstLine="720"/>
        <w:jc w:val="both"/>
        <w:rPr>
          <w:rFonts w:ascii="Times New Roman" w:hAnsi="Times New Roman" w:cs="Times New Roman"/>
          <w:i/>
          <w:sz w:val="24"/>
          <w:szCs w:val="24"/>
        </w:rPr>
      </w:pPr>
      <w:r w:rsidRPr="009B21DE">
        <w:rPr>
          <w:rFonts w:ascii="Times New Roman" w:hAnsi="Times New Roman" w:cs="Times New Roman"/>
          <w:i/>
          <w:sz w:val="24"/>
          <w:szCs w:val="24"/>
        </w:rPr>
        <w:t>1. Novada ekonomiskā un sociālā situācija, pašvaldības uzdevumi saimnieciskajā gadā un trijos turpmākajos.</w:t>
      </w:r>
    </w:p>
    <w:p w:rsidR="00511457" w:rsidRPr="004E58C4" w:rsidRDefault="00511457" w:rsidP="00511457">
      <w:pPr>
        <w:autoSpaceDE w:val="0"/>
        <w:autoSpaceDN w:val="0"/>
        <w:adjustRightInd w:val="0"/>
        <w:spacing w:before="120"/>
        <w:jc w:val="both"/>
        <w:rPr>
          <w:rFonts w:ascii="Times New Roman" w:hAnsi="Times New Roman" w:cs="Times New Roman"/>
          <w:color w:val="000000"/>
        </w:rPr>
      </w:pPr>
      <w:r w:rsidRPr="004E58C4">
        <w:rPr>
          <w:rFonts w:ascii="Times New Roman" w:hAnsi="Times New Roman" w:cs="Times New Roman"/>
          <w:color w:val="000000"/>
        </w:rPr>
        <w:t>Tukuma novada pašvaldība ir vienota administratīvi teritoriāla vienība, kas sastāv no Tukuma pilsētas, Degoles pagasta, Džūkstes pagasta, Irlavas pagasta, Jaunsātu pagasta, Lestenes pagasta, Pūres pagasta, Sēmes pagasta, Slampes pagasta, Tumes pagasta un Zentenes pagasta. Tukuma novada administratīvais centrs – Tukuma pilsēta.</w:t>
      </w:r>
    </w:p>
    <w:p w:rsidR="00511457" w:rsidRPr="004E58C4" w:rsidRDefault="00511457" w:rsidP="00511457">
      <w:pPr>
        <w:jc w:val="both"/>
        <w:rPr>
          <w:rFonts w:ascii="Times New Roman" w:hAnsi="Times New Roman" w:cs="Times New Roman"/>
        </w:rPr>
      </w:pPr>
      <w:r w:rsidRPr="004E58C4">
        <w:rPr>
          <w:rFonts w:ascii="Times New Roman" w:hAnsi="Times New Roman" w:cs="Times New Roman"/>
        </w:rPr>
        <w:t>Tukuma novads ir trešais lielākais novads (starp 110 novadiem</w:t>
      </w:r>
      <w:r w:rsidR="00E243EE">
        <w:rPr>
          <w:rFonts w:ascii="Times New Roman" w:hAnsi="Times New Roman" w:cs="Times New Roman"/>
        </w:rPr>
        <w:t>) pēc iedzīvotāju skaita. N</w:t>
      </w:r>
      <w:r w:rsidRPr="004E58C4">
        <w:rPr>
          <w:rFonts w:ascii="Times New Roman" w:hAnsi="Times New Roman" w:cs="Times New Roman"/>
        </w:rPr>
        <w:t>ovadā ir 30 907 iedzīvotāji. 2016.gada 1.pusgadā Tukuma novadā bijuši reģistrēti 19 613 iedzīvotāji darbspējīgā vecumā, kas sastāda 63,5% no visiem Tukuma iedzīvotājiem.  Iedzīvotāju skaits līdz darbspējas vecumam salīdzinājumā ar 2016.gada sākumu samazinājies par 32 personām. Par 26 personām samazinājies arī to iedzīvotāju skaits, kuri beiguši savas aktīvās darba gaitas.</w:t>
      </w:r>
      <w:r w:rsidRPr="004E58C4">
        <w:rPr>
          <w:rStyle w:val="FootnoteReference"/>
          <w:rFonts w:ascii="Times New Roman" w:hAnsi="Times New Roman" w:cs="Times New Roman"/>
        </w:rPr>
        <w:t xml:space="preserve"> </w:t>
      </w:r>
      <w:r w:rsidRPr="004E58C4">
        <w:rPr>
          <w:rStyle w:val="FootnoteReference"/>
          <w:rFonts w:ascii="Times New Roman" w:hAnsi="Times New Roman" w:cs="Times New Roman"/>
        </w:rPr>
        <w:footnoteReference w:id="1"/>
      </w:r>
    </w:p>
    <w:p w:rsidR="00511457" w:rsidRPr="004E58C4" w:rsidRDefault="00511457" w:rsidP="00511457">
      <w:pPr>
        <w:jc w:val="both"/>
        <w:rPr>
          <w:rFonts w:ascii="Times New Roman" w:hAnsi="Times New Roman" w:cs="Times New Roman"/>
          <w:iCs/>
        </w:rPr>
      </w:pPr>
      <w:r w:rsidRPr="004E58C4">
        <w:rPr>
          <w:rFonts w:ascii="Times New Roman" w:hAnsi="Times New Roman" w:cs="Times New Roman"/>
          <w:iCs/>
        </w:rPr>
        <w:t xml:space="preserve">2015.gadā Tukuma novadā darbojas 2014 ekonomiski aktīvas tirgus sektora vienības, tai skaitā 833 komercsabiedrības, 175 individuālie komersanti, 230 zemnieku saimniecības un 776 pašnodarbinātās personas. </w:t>
      </w:r>
      <w:r w:rsidRPr="004E58C4">
        <w:rPr>
          <w:rStyle w:val="FootnoteReference"/>
          <w:rFonts w:ascii="Times New Roman" w:hAnsi="Times New Roman" w:cs="Times New Roman"/>
          <w:iCs/>
        </w:rPr>
        <w:footnoteReference w:id="2"/>
      </w:r>
      <w:r w:rsidRPr="004E58C4">
        <w:rPr>
          <w:rFonts w:ascii="Times New Roman" w:hAnsi="Times New Roman" w:cs="Times New Roman"/>
          <w:iCs/>
        </w:rPr>
        <w:t>Salīdzinot ar iepriekšējo gadu</w:t>
      </w:r>
      <w:r w:rsidR="00E243EE">
        <w:rPr>
          <w:rFonts w:ascii="Times New Roman" w:hAnsi="Times New Roman" w:cs="Times New Roman"/>
          <w:iCs/>
        </w:rPr>
        <w:t>,</w:t>
      </w:r>
      <w:r w:rsidRPr="004E58C4">
        <w:rPr>
          <w:rFonts w:ascii="Times New Roman" w:hAnsi="Times New Roman" w:cs="Times New Roman"/>
          <w:iCs/>
        </w:rPr>
        <w:t xml:space="preserve"> ekonomiski aktīvo vienību skaits ir palielinājies par 5% (bija 1908).</w:t>
      </w:r>
    </w:p>
    <w:p w:rsidR="00511457" w:rsidRPr="004E58C4" w:rsidRDefault="00511457" w:rsidP="00511457">
      <w:pPr>
        <w:jc w:val="both"/>
        <w:rPr>
          <w:rFonts w:ascii="Times New Roman" w:hAnsi="Times New Roman" w:cs="Times New Roman"/>
          <w:iCs/>
        </w:rPr>
      </w:pPr>
      <w:r w:rsidRPr="004E58C4">
        <w:rPr>
          <w:rFonts w:ascii="Times New Roman" w:hAnsi="Times New Roman" w:cs="Times New Roman"/>
          <w:iCs/>
        </w:rPr>
        <w:t>Nozare, kur darbojas lielākais organizāciju skaits Tukuma novadā ir lauksaimniecība, mežsaimniecība un zivsaimniecība – gandrīz trešā daļa no organizācijām (23,8%) jeb 480, tai seko tirdzniecība un auto/moto remonts (15,2%, 307 uzņēmumi) un apstrādes rūpniecība (8,2%, 165 uzņēmumi).</w:t>
      </w:r>
      <w:r w:rsidRPr="004E58C4">
        <w:rPr>
          <w:rStyle w:val="FootnoteReference"/>
          <w:rFonts w:ascii="Times New Roman" w:hAnsi="Times New Roman" w:cs="Times New Roman"/>
          <w:iCs/>
        </w:rPr>
        <w:footnoteReference w:id="3"/>
      </w:r>
      <w:r w:rsidRPr="004E58C4">
        <w:rPr>
          <w:rFonts w:ascii="Times New Roman" w:hAnsi="Times New Roman" w:cs="Times New Roman"/>
          <w:iCs/>
        </w:rPr>
        <w:t xml:space="preserve"> Šajās nozarēs uzņēmumu skaits ir palielinājies, salīdzinot ar iepriekšējo gadu.</w:t>
      </w:r>
    </w:p>
    <w:p w:rsidR="00511457" w:rsidRPr="004E58C4" w:rsidRDefault="00511457" w:rsidP="00511457">
      <w:pPr>
        <w:jc w:val="both"/>
        <w:rPr>
          <w:rFonts w:ascii="Times New Roman" w:hAnsi="Times New Roman" w:cs="Times New Roman"/>
          <w:iCs/>
        </w:rPr>
      </w:pPr>
      <w:r w:rsidRPr="004E58C4">
        <w:rPr>
          <w:rFonts w:ascii="Times New Roman" w:hAnsi="Times New Roman" w:cs="Times New Roman"/>
          <w:iCs/>
        </w:rPr>
        <w:t>Apstrādes rūpniecība (pārtikas rūpniecība, vieglā rūpniecība, kokapstrāde, būvmateriālu ražošana, metālapstrāde) un loģistika ir starp prioritāri atbalstāmajām Tukuma novada ekonomikas nozarēm, un tās raksturo Tukuma novada ekonomisko specializāciju.</w:t>
      </w:r>
    </w:p>
    <w:p w:rsidR="00511457" w:rsidRPr="004E58C4" w:rsidRDefault="00511457" w:rsidP="00511457">
      <w:pPr>
        <w:jc w:val="both"/>
        <w:rPr>
          <w:rFonts w:ascii="Times New Roman" w:hAnsi="Times New Roman" w:cs="Times New Roman"/>
        </w:rPr>
      </w:pPr>
      <w:r w:rsidRPr="004E58C4">
        <w:rPr>
          <w:rFonts w:ascii="Times New Roman" w:hAnsi="Times New Roman" w:cs="Times New Roman"/>
          <w:iCs/>
        </w:rPr>
        <w:t xml:space="preserve">Saskaņā ar CSP datiem 2015.gadā vidēji Tukuma novadā bija 9 857 strādājošo un 765 pašnodarbinātās personas. Pēdējos gados strādājošo un pašnodarbināto personu skaits palielinās. Uzņēmumi ar </w:t>
      </w:r>
      <w:r w:rsidRPr="004E58C4">
        <w:rPr>
          <w:rFonts w:ascii="Times New Roman" w:hAnsi="Times New Roman" w:cs="Times New Roman"/>
        </w:rPr>
        <w:t xml:space="preserve">lielāko nodarbināto skaitu Tukuma novadā: “Skonto </w:t>
      </w:r>
      <w:proofErr w:type="spellStart"/>
      <w:r w:rsidRPr="004E58C4">
        <w:rPr>
          <w:rFonts w:ascii="Times New Roman" w:hAnsi="Times New Roman" w:cs="Times New Roman"/>
        </w:rPr>
        <w:t>Plan</w:t>
      </w:r>
      <w:proofErr w:type="spellEnd"/>
      <w:r w:rsidRPr="004E58C4">
        <w:rPr>
          <w:rFonts w:ascii="Times New Roman" w:hAnsi="Times New Roman" w:cs="Times New Roman"/>
        </w:rPr>
        <w:t>”, “Tukuma piens”, “Tukuma mēbeles”, “Tukuma slimnīca”, Tukuma novada Dome.</w:t>
      </w:r>
    </w:p>
    <w:p w:rsidR="00511457" w:rsidRPr="004E58C4" w:rsidRDefault="00511457" w:rsidP="00511457">
      <w:pPr>
        <w:jc w:val="both"/>
        <w:rPr>
          <w:rFonts w:ascii="Times New Roman" w:hAnsi="Times New Roman" w:cs="Times New Roman"/>
        </w:rPr>
      </w:pPr>
      <w:r w:rsidRPr="004E58C4">
        <w:rPr>
          <w:rFonts w:ascii="Times New Roman" w:hAnsi="Times New Roman" w:cs="Times New Roman"/>
        </w:rPr>
        <w:t xml:space="preserve">Strādājošo vidējā bruto darba samaksa mēnesī Tukuma novadā 2016.gadā bija 713 </w:t>
      </w:r>
      <w:r w:rsidR="00EA1674">
        <w:rPr>
          <w:rFonts w:ascii="Times New Roman" w:hAnsi="Times New Roman" w:cs="Times New Roman"/>
        </w:rPr>
        <w:t>EUR</w:t>
      </w:r>
      <w:r w:rsidRPr="004E58C4">
        <w:rPr>
          <w:rFonts w:ascii="Times New Roman" w:hAnsi="Times New Roman" w:cs="Times New Roman"/>
        </w:rPr>
        <w:t xml:space="preserve">, neto jeb uz rokas – 520 </w:t>
      </w:r>
      <w:r w:rsidR="00EA1674">
        <w:rPr>
          <w:rFonts w:ascii="Times New Roman" w:hAnsi="Times New Roman" w:cs="Times New Roman"/>
        </w:rPr>
        <w:t>EUR</w:t>
      </w:r>
      <w:r w:rsidRPr="004E58C4">
        <w:rPr>
          <w:rFonts w:ascii="Times New Roman" w:hAnsi="Times New Roman" w:cs="Times New Roman"/>
        </w:rPr>
        <w:t xml:space="preserve">. Latvijā bruto darba samaksa bija 913 </w:t>
      </w:r>
      <w:r w:rsidR="00EA1674">
        <w:rPr>
          <w:rFonts w:ascii="Times New Roman" w:hAnsi="Times New Roman" w:cs="Times New Roman"/>
        </w:rPr>
        <w:t>EUR</w:t>
      </w:r>
      <w:r w:rsidRPr="004E58C4">
        <w:rPr>
          <w:rFonts w:ascii="Times New Roman" w:hAnsi="Times New Roman" w:cs="Times New Roman"/>
        </w:rPr>
        <w:t xml:space="preserve">, neto – 659 </w:t>
      </w:r>
      <w:r w:rsidR="00EA1674">
        <w:rPr>
          <w:rFonts w:ascii="Times New Roman" w:hAnsi="Times New Roman" w:cs="Times New Roman"/>
        </w:rPr>
        <w:t>EUR</w:t>
      </w:r>
      <w:r w:rsidRPr="004E58C4">
        <w:rPr>
          <w:rFonts w:ascii="Times New Roman" w:hAnsi="Times New Roman" w:cs="Times New Roman"/>
        </w:rPr>
        <w:t>. Attiecīgi Tukuma novadā vidējā darba samaksa ir zemāka par 21,9% no vidējās valstī.</w:t>
      </w:r>
      <w:r w:rsidRPr="004E58C4">
        <w:rPr>
          <w:rStyle w:val="FootnoteReference"/>
          <w:rFonts w:ascii="Times New Roman" w:hAnsi="Times New Roman" w:cs="Times New Roman"/>
        </w:rPr>
        <w:footnoteReference w:id="4"/>
      </w:r>
    </w:p>
    <w:p w:rsidR="00511457" w:rsidRPr="004E58C4" w:rsidRDefault="00511457" w:rsidP="00511457">
      <w:pPr>
        <w:jc w:val="both"/>
        <w:rPr>
          <w:rFonts w:ascii="Times New Roman" w:hAnsi="Times New Roman" w:cs="Times New Roman"/>
        </w:rPr>
      </w:pPr>
      <w:r w:rsidRPr="004E58C4">
        <w:rPr>
          <w:rFonts w:ascii="Times New Roman" w:hAnsi="Times New Roman" w:cs="Times New Roman"/>
        </w:rPr>
        <w:t>Saskaņā ar Nodarbinātības valsts aģentūras (NVA) datiem kopējais bezdarba līmenis 2016.gada 1.pusgadā Tukuma novadā bija 5,5% no ekonomiski aktīvo iedzīvotāju skaita. Bezdarba līmenis novadā ir zemāks nekā Latvijā vidēji (6,3%). 2016.gada 1.pusgadā Tukuma novadā reģistrēti 975 bezdarbnieki. Salīdzinot ar iepriekšējiem gadiem, bezdarbnieku skaits un bezdarba līmenis novadā samazinās.</w:t>
      </w:r>
      <w:r w:rsidRPr="004E58C4">
        <w:rPr>
          <w:rStyle w:val="FootnoteReference"/>
          <w:rFonts w:ascii="Times New Roman" w:hAnsi="Times New Roman" w:cs="Times New Roman"/>
        </w:rPr>
        <w:footnoteReference w:id="5"/>
      </w:r>
    </w:p>
    <w:p w:rsidR="00511457" w:rsidRPr="00E243EE" w:rsidRDefault="00511457" w:rsidP="00E243EE">
      <w:pPr>
        <w:jc w:val="both"/>
        <w:rPr>
          <w:rFonts w:ascii="Times New Roman" w:hAnsi="Times New Roman" w:cs="Times New Roman"/>
          <w:b/>
          <w:sz w:val="24"/>
          <w:szCs w:val="24"/>
        </w:rPr>
      </w:pPr>
      <w:r w:rsidRPr="009B21DE">
        <w:rPr>
          <w:rFonts w:ascii="Times New Roman" w:hAnsi="Times New Roman" w:cs="Times New Roman"/>
          <w:b/>
          <w:sz w:val="24"/>
          <w:szCs w:val="24"/>
        </w:rPr>
        <w:lastRenderedPageBreak/>
        <w:t>Tukuma novada pašvaldības pamatbudžets</w:t>
      </w:r>
    </w:p>
    <w:p w:rsidR="00697EB8" w:rsidRDefault="00100AA9" w:rsidP="00697EB8">
      <w:pPr>
        <w:ind w:firstLine="720"/>
        <w:jc w:val="both"/>
        <w:rPr>
          <w:rFonts w:ascii="Times New Roman" w:hAnsi="Times New Roman" w:cs="Times New Roman"/>
          <w:sz w:val="24"/>
          <w:szCs w:val="24"/>
        </w:rPr>
      </w:pPr>
      <w:r w:rsidRPr="009B21DE">
        <w:rPr>
          <w:rFonts w:ascii="Times New Roman" w:hAnsi="Times New Roman" w:cs="Times New Roman"/>
          <w:sz w:val="24"/>
          <w:szCs w:val="24"/>
        </w:rPr>
        <w:t xml:space="preserve">Tukuma novada </w:t>
      </w:r>
      <w:r w:rsidR="00FB724B">
        <w:rPr>
          <w:rFonts w:ascii="Times New Roman" w:hAnsi="Times New Roman" w:cs="Times New Roman"/>
          <w:sz w:val="24"/>
          <w:szCs w:val="24"/>
        </w:rPr>
        <w:t>pašvaldības 2017</w:t>
      </w:r>
      <w:r w:rsidRPr="009B21DE">
        <w:rPr>
          <w:rFonts w:ascii="Times New Roman" w:hAnsi="Times New Roman" w:cs="Times New Roman"/>
          <w:sz w:val="24"/>
          <w:szCs w:val="24"/>
        </w:rPr>
        <w:t>.gada budžet</w:t>
      </w:r>
      <w:r w:rsidR="00E243EE">
        <w:rPr>
          <w:rFonts w:ascii="Times New Roman" w:hAnsi="Times New Roman" w:cs="Times New Roman"/>
          <w:sz w:val="24"/>
          <w:szCs w:val="24"/>
        </w:rPr>
        <w:t>s izstrādāts, ievērojot likumā “</w:t>
      </w:r>
      <w:r w:rsidRPr="009B21DE">
        <w:rPr>
          <w:rFonts w:ascii="Times New Roman" w:hAnsi="Times New Roman" w:cs="Times New Roman"/>
          <w:sz w:val="24"/>
          <w:szCs w:val="24"/>
        </w:rPr>
        <w:t>Par</w:t>
      </w:r>
      <w:r w:rsidR="00E243EE">
        <w:rPr>
          <w:rFonts w:ascii="Times New Roman" w:hAnsi="Times New Roman" w:cs="Times New Roman"/>
          <w:sz w:val="24"/>
          <w:szCs w:val="24"/>
        </w:rPr>
        <w:t xml:space="preserve"> pašvaldību budžetiem”, likumā “Par pašvaldībām”, likumā “</w:t>
      </w:r>
      <w:r w:rsidRPr="009B21DE">
        <w:rPr>
          <w:rFonts w:ascii="Times New Roman" w:hAnsi="Times New Roman" w:cs="Times New Roman"/>
          <w:sz w:val="24"/>
          <w:szCs w:val="24"/>
        </w:rPr>
        <w:t>Par budžetu un finanšu vadību”,</w:t>
      </w:r>
      <w:r w:rsidR="00E243EE">
        <w:rPr>
          <w:rFonts w:ascii="Times New Roman" w:hAnsi="Times New Roman" w:cs="Times New Roman"/>
          <w:sz w:val="24"/>
          <w:szCs w:val="24"/>
        </w:rPr>
        <w:t xml:space="preserve"> likumā “</w:t>
      </w:r>
      <w:r w:rsidR="00FB724B">
        <w:rPr>
          <w:rFonts w:ascii="Times New Roman" w:hAnsi="Times New Roman" w:cs="Times New Roman"/>
          <w:sz w:val="24"/>
          <w:szCs w:val="24"/>
        </w:rPr>
        <w:t>Par valsts budžetu 2017</w:t>
      </w:r>
      <w:r w:rsidRPr="009B21DE">
        <w:rPr>
          <w:rFonts w:ascii="Times New Roman" w:hAnsi="Times New Roman" w:cs="Times New Roman"/>
          <w:sz w:val="24"/>
          <w:szCs w:val="24"/>
        </w:rPr>
        <w:t xml:space="preserve">.gadam”, kā arī nodokļu likumos, Ministru kabineta noteikumos un citos normatīvajos aktos paredzētās </w:t>
      </w:r>
      <w:r w:rsidR="001F7C34">
        <w:rPr>
          <w:rFonts w:ascii="Times New Roman" w:hAnsi="Times New Roman" w:cs="Times New Roman"/>
          <w:sz w:val="24"/>
          <w:szCs w:val="24"/>
        </w:rPr>
        <w:t xml:space="preserve">prasības. </w:t>
      </w:r>
    </w:p>
    <w:p w:rsidR="00F81F92" w:rsidRDefault="002402B6" w:rsidP="00697EB8">
      <w:pPr>
        <w:ind w:firstLine="720"/>
        <w:jc w:val="both"/>
        <w:rPr>
          <w:rFonts w:ascii="Times New Roman" w:hAnsi="Times New Roman" w:cs="Times New Roman"/>
          <w:sz w:val="24"/>
          <w:szCs w:val="24"/>
        </w:rPr>
      </w:pPr>
      <w:r w:rsidRPr="009B21DE">
        <w:rPr>
          <w:rFonts w:ascii="Times New Roman" w:hAnsi="Times New Roman" w:cs="Times New Roman"/>
          <w:sz w:val="24"/>
          <w:szCs w:val="24"/>
        </w:rPr>
        <w:t>Deputātu vērtējum</w:t>
      </w:r>
      <w:r w:rsidR="00FB724B">
        <w:rPr>
          <w:rFonts w:ascii="Times New Roman" w:hAnsi="Times New Roman" w:cs="Times New Roman"/>
          <w:sz w:val="24"/>
          <w:szCs w:val="24"/>
        </w:rPr>
        <w:t>am ir iesniegts sabalansēts 2017</w:t>
      </w:r>
      <w:r w:rsidRPr="009B21DE">
        <w:rPr>
          <w:rFonts w:ascii="Times New Roman" w:hAnsi="Times New Roman" w:cs="Times New Roman"/>
          <w:sz w:val="24"/>
          <w:szCs w:val="24"/>
        </w:rPr>
        <w:t>.gada Tukuma novad</w:t>
      </w:r>
      <w:r w:rsidR="007B6629" w:rsidRPr="009B21DE">
        <w:rPr>
          <w:rFonts w:ascii="Times New Roman" w:hAnsi="Times New Roman" w:cs="Times New Roman"/>
          <w:sz w:val="24"/>
          <w:szCs w:val="24"/>
        </w:rPr>
        <w:t xml:space="preserve">a </w:t>
      </w:r>
      <w:r w:rsidR="00714FF9" w:rsidRPr="009B21DE">
        <w:rPr>
          <w:rFonts w:ascii="Times New Roman" w:hAnsi="Times New Roman" w:cs="Times New Roman"/>
          <w:sz w:val="24"/>
          <w:szCs w:val="24"/>
        </w:rPr>
        <w:t xml:space="preserve">pašvaldības </w:t>
      </w:r>
      <w:r w:rsidR="007B6629" w:rsidRPr="009B21DE">
        <w:rPr>
          <w:rFonts w:ascii="Times New Roman" w:hAnsi="Times New Roman" w:cs="Times New Roman"/>
          <w:sz w:val="24"/>
          <w:szCs w:val="24"/>
        </w:rPr>
        <w:t>budžets. Tas</w:t>
      </w:r>
      <w:r w:rsidR="0099572A">
        <w:rPr>
          <w:rFonts w:ascii="Times New Roman" w:hAnsi="Times New Roman" w:cs="Times New Roman"/>
          <w:sz w:val="24"/>
          <w:szCs w:val="24"/>
        </w:rPr>
        <w:t xml:space="preserve"> ir dokuments, kas</w:t>
      </w:r>
      <w:r w:rsidRPr="009B21DE">
        <w:rPr>
          <w:rFonts w:ascii="Times New Roman" w:hAnsi="Times New Roman" w:cs="Times New Roman"/>
          <w:sz w:val="24"/>
          <w:szCs w:val="24"/>
        </w:rPr>
        <w:t xml:space="preserve"> atspoguļo pašvaldības politiku un priori</w:t>
      </w:r>
      <w:r w:rsidR="00167155" w:rsidRPr="009B21DE">
        <w:rPr>
          <w:rFonts w:ascii="Times New Roman" w:hAnsi="Times New Roman" w:cs="Times New Roman"/>
          <w:sz w:val="24"/>
          <w:szCs w:val="24"/>
        </w:rPr>
        <w:t>tātes skaitliskā izteiksmē</w:t>
      </w:r>
      <w:r w:rsidR="00CE0D44" w:rsidRPr="009B21DE">
        <w:rPr>
          <w:rFonts w:ascii="Times New Roman" w:hAnsi="Times New Roman" w:cs="Times New Roman"/>
          <w:sz w:val="24"/>
          <w:szCs w:val="24"/>
        </w:rPr>
        <w:t>.</w:t>
      </w:r>
      <w:r w:rsidR="00F866E8">
        <w:rPr>
          <w:rFonts w:ascii="Times New Roman" w:hAnsi="Times New Roman" w:cs="Times New Roman"/>
          <w:sz w:val="24"/>
          <w:szCs w:val="24"/>
        </w:rPr>
        <w:t xml:space="preserve"> Tukuma novada </w:t>
      </w:r>
      <w:r w:rsidR="00EF4AF5" w:rsidRPr="009B21DE">
        <w:rPr>
          <w:rFonts w:ascii="Times New Roman" w:hAnsi="Times New Roman" w:cs="Times New Roman"/>
          <w:sz w:val="24"/>
          <w:szCs w:val="24"/>
        </w:rPr>
        <w:t>pašval</w:t>
      </w:r>
      <w:r w:rsidR="0081598F" w:rsidRPr="009B21DE">
        <w:rPr>
          <w:rFonts w:ascii="Times New Roman" w:hAnsi="Times New Roman" w:cs="Times New Roman"/>
          <w:sz w:val="24"/>
          <w:szCs w:val="24"/>
        </w:rPr>
        <w:t xml:space="preserve">dības </w:t>
      </w:r>
      <w:r w:rsidR="00FB724B">
        <w:rPr>
          <w:rFonts w:ascii="Times New Roman" w:hAnsi="Times New Roman" w:cs="Times New Roman"/>
          <w:sz w:val="24"/>
          <w:szCs w:val="24"/>
        </w:rPr>
        <w:t>2017</w:t>
      </w:r>
      <w:r w:rsidR="00676258" w:rsidRPr="009B21DE">
        <w:rPr>
          <w:rFonts w:ascii="Times New Roman" w:hAnsi="Times New Roman" w:cs="Times New Roman"/>
          <w:sz w:val="24"/>
          <w:szCs w:val="24"/>
        </w:rPr>
        <w:t>.gada budžeta</w:t>
      </w:r>
      <w:r w:rsidR="00EF4AF5" w:rsidRPr="009B21DE">
        <w:rPr>
          <w:rFonts w:ascii="Times New Roman" w:hAnsi="Times New Roman" w:cs="Times New Roman"/>
          <w:sz w:val="24"/>
          <w:szCs w:val="24"/>
        </w:rPr>
        <w:t xml:space="preserve"> ieņēmumu noteikšanas pamatprincipi paredz piesardzīgu vērtējumu par ekonomiskās situācijas attīstību.</w:t>
      </w:r>
      <w:r w:rsidR="00FF3AA4">
        <w:rPr>
          <w:rFonts w:ascii="Times New Roman" w:hAnsi="Times New Roman" w:cs="Times New Roman"/>
          <w:sz w:val="24"/>
          <w:szCs w:val="24"/>
        </w:rPr>
        <w:t xml:space="preserve"> Tukuma novada pašvaldības budžets sastāv no pamatbudžeta, speciālā budžeta un ziedojumu budžeta. Speciālo budžetu veido Autoceļa fonda ieņēmumu un dabas resursa nodo</w:t>
      </w:r>
      <w:r w:rsidR="007C6648">
        <w:rPr>
          <w:rFonts w:ascii="Times New Roman" w:hAnsi="Times New Roman" w:cs="Times New Roman"/>
          <w:sz w:val="24"/>
          <w:szCs w:val="24"/>
        </w:rPr>
        <w:t>kļa ieņēmumi (pašvaldības daļa).</w:t>
      </w:r>
    </w:p>
    <w:p w:rsidR="002402B6" w:rsidRPr="00F81F92" w:rsidRDefault="00FB724B" w:rsidP="00697EB8">
      <w:pPr>
        <w:spacing w:after="0"/>
        <w:ind w:firstLine="720"/>
        <w:jc w:val="both"/>
        <w:rPr>
          <w:rFonts w:ascii="Times New Roman" w:hAnsi="Times New Roman" w:cs="Times New Roman"/>
          <w:sz w:val="24"/>
          <w:szCs w:val="24"/>
        </w:rPr>
      </w:pPr>
      <w:r>
        <w:rPr>
          <w:rFonts w:ascii="Times New Roman" w:hAnsi="Times New Roman" w:cs="Times New Roman"/>
          <w:sz w:val="24"/>
          <w:szCs w:val="24"/>
        </w:rPr>
        <w:t>2017</w:t>
      </w:r>
      <w:r w:rsidR="002402B6" w:rsidRPr="00F81F92">
        <w:rPr>
          <w:rFonts w:ascii="Times New Roman" w:hAnsi="Times New Roman" w:cs="Times New Roman"/>
          <w:sz w:val="24"/>
          <w:szCs w:val="24"/>
        </w:rPr>
        <w:t xml:space="preserve">.gadā novada infrastruktūras un ekonomiskā </w:t>
      </w:r>
      <w:r w:rsidR="00F16174" w:rsidRPr="00F81F92">
        <w:rPr>
          <w:rFonts w:ascii="Times New Roman" w:hAnsi="Times New Roman" w:cs="Times New Roman"/>
          <w:sz w:val="24"/>
          <w:szCs w:val="24"/>
        </w:rPr>
        <w:t>attīstība ir plānota, īstenojot</w:t>
      </w:r>
      <w:r w:rsidR="002402B6" w:rsidRPr="00F81F92">
        <w:rPr>
          <w:rFonts w:ascii="Times New Roman" w:hAnsi="Times New Roman" w:cs="Times New Roman"/>
          <w:sz w:val="24"/>
          <w:szCs w:val="24"/>
        </w:rPr>
        <w:t xml:space="preserve"> Eiropas S</w:t>
      </w:r>
      <w:r w:rsidR="00714FF9" w:rsidRPr="00F81F92">
        <w:rPr>
          <w:rFonts w:ascii="Times New Roman" w:hAnsi="Times New Roman" w:cs="Times New Roman"/>
          <w:sz w:val="24"/>
          <w:szCs w:val="24"/>
        </w:rPr>
        <w:t xml:space="preserve">avienības finansētos </w:t>
      </w:r>
      <w:r w:rsidR="000E17EE" w:rsidRPr="00F81F92">
        <w:rPr>
          <w:rFonts w:ascii="Times New Roman" w:hAnsi="Times New Roman" w:cs="Times New Roman"/>
          <w:sz w:val="24"/>
          <w:szCs w:val="24"/>
        </w:rPr>
        <w:t>projektus, kā arī</w:t>
      </w:r>
      <w:r w:rsidR="00714FF9" w:rsidRPr="00F81F92">
        <w:rPr>
          <w:rFonts w:ascii="Times New Roman" w:hAnsi="Times New Roman" w:cs="Times New Roman"/>
          <w:sz w:val="24"/>
          <w:szCs w:val="24"/>
        </w:rPr>
        <w:t xml:space="preserve"> nosakot budžetā finansējumu mērķmaksājumiem</w:t>
      </w:r>
      <w:r w:rsidR="0081598F" w:rsidRPr="00F81F92">
        <w:rPr>
          <w:rFonts w:ascii="Times New Roman" w:hAnsi="Times New Roman" w:cs="Times New Roman"/>
          <w:sz w:val="24"/>
          <w:szCs w:val="24"/>
        </w:rPr>
        <w:t xml:space="preserve"> un noteiktu objektu rekonstrukcijai un būvniecībai ar budžeta un aizņēmuma līdzekļiem.</w:t>
      </w:r>
      <w:r w:rsidR="002824EB">
        <w:rPr>
          <w:rFonts w:ascii="Times New Roman" w:hAnsi="Times New Roman" w:cs="Times New Roman"/>
          <w:sz w:val="24"/>
          <w:szCs w:val="24"/>
        </w:rPr>
        <w:t xml:space="preserve"> </w:t>
      </w:r>
    </w:p>
    <w:p w:rsidR="00833B56" w:rsidRDefault="003703E2" w:rsidP="006F746C">
      <w:pPr>
        <w:jc w:val="both"/>
        <w:rPr>
          <w:rFonts w:ascii="Times New Roman" w:hAnsi="Times New Roman" w:cs="Times New Roman"/>
          <w:sz w:val="24"/>
          <w:szCs w:val="24"/>
        </w:rPr>
      </w:pPr>
      <w:r w:rsidRPr="009B21DE">
        <w:rPr>
          <w:rFonts w:ascii="Times New Roman" w:hAnsi="Times New Roman" w:cs="Times New Roman"/>
          <w:sz w:val="24"/>
          <w:szCs w:val="24"/>
        </w:rPr>
        <w:tab/>
      </w:r>
    </w:p>
    <w:p w:rsidR="00B12456" w:rsidRPr="009B21DE" w:rsidRDefault="00B12456" w:rsidP="006F746C">
      <w:pPr>
        <w:jc w:val="both"/>
        <w:rPr>
          <w:rFonts w:ascii="Times New Roman" w:hAnsi="Times New Roman" w:cs="Times New Roman"/>
          <w:b/>
          <w:sz w:val="24"/>
          <w:szCs w:val="24"/>
        </w:rPr>
      </w:pPr>
      <w:proofErr w:type="gramStart"/>
      <w:r w:rsidRPr="009B21DE">
        <w:rPr>
          <w:rFonts w:ascii="Times New Roman" w:hAnsi="Times New Roman" w:cs="Times New Roman"/>
          <w:b/>
          <w:sz w:val="24"/>
          <w:szCs w:val="24"/>
        </w:rPr>
        <w:t>1.Ieņēmumi</w:t>
      </w:r>
      <w:proofErr w:type="gramEnd"/>
    </w:p>
    <w:p w:rsidR="00CF7D96" w:rsidRPr="009B21DE" w:rsidRDefault="00AD3A8D" w:rsidP="006F746C">
      <w:pPr>
        <w:jc w:val="both"/>
        <w:rPr>
          <w:rFonts w:ascii="Times New Roman" w:hAnsi="Times New Roman" w:cs="Times New Roman"/>
          <w:sz w:val="24"/>
          <w:szCs w:val="24"/>
        </w:rPr>
      </w:pPr>
      <w:r w:rsidRPr="009B21DE">
        <w:rPr>
          <w:rFonts w:ascii="Times New Roman" w:hAnsi="Times New Roman" w:cs="Times New Roman"/>
          <w:sz w:val="24"/>
          <w:szCs w:val="24"/>
        </w:rPr>
        <w:tab/>
        <w:t xml:space="preserve">Tukuma novada </w:t>
      </w:r>
      <w:r w:rsidR="001A2611">
        <w:rPr>
          <w:rFonts w:ascii="Times New Roman" w:hAnsi="Times New Roman" w:cs="Times New Roman"/>
          <w:sz w:val="24"/>
          <w:szCs w:val="24"/>
        </w:rPr>
        <w:t>pašvaldības 2017</w:t>
      </w:r>
      <w:r w:rsidR="00B101E9" w:rsidRPr="009B21DE">
        <w:rPr>
          <w:rFonts w:ascii="Times New Roman" w:hAnsi="Times New Roman" w:cs="Times New Roman"/>
          <w:sz w:val="24"/>
          <w:szCs w:val="24"/>
        </w:rPr>
        <w:t>.gada</w:t>
      </w:r>
      <w:r w:rsidR="00EA30E6" w:rsidRPr="009B21DE">
        <w:rPr>
          <w:rFonts w:ascii="Times New Roman" w:hAnsi="Times New Roman" w:cs="Times New Roman"/>
          <w:sz w:val="24"/>
          <w:szCs w:val="24"/>
        </w:rPr>
        <w:t xml:space="preserve"> ieņēmi ir plānoti </w:t>
      </w:r>
      <w:r w:rsidR="001A2611">
        <w:rPr>
          <w:rFonts w:ascii="Times New Roman" w:hAnsi="Times New Roman" w:cs="Times New Roman"/>
          <w:sz w:val="24"/>
          <w:szCs w:val="24"/>
        </w:rPr>
        <w:t>32 309 876</w:t>
      </w:r>
      <w:r w:rsidRPr="009B21DE">
        <w:rPr>
          <w:rFonts w:ascii="Times New Roman" w:hAnsi="Times New Roman" w:cs="Times New Roman"/>
          <w:sz w:val="24"/>
          <w:szCs w:val="24"/>
        </w:rPr>
        <w:t xml:space="preserve"> </w:t>
      </w:r>
      <w:r w:rsidR="00E243EE">
        <w:rPr>
          <w:rFonts w:ascii="Times New Roman" w:hAnsi="Times New Roman" w:cs="Times New Roman"/>
          <w:sz w:val="24"/>
          <w:szCs w:val="24"/>
        </w:rPr>
        <w:t>EUR</w:t>
      </w:r>
      <w:r w:rsidR="000D45FC">
        <w:rPr>
          <w:rFonts w:ascii="Times New Roman" w:hAnsi="Times New Roman" w:cs="Times New Roman"/>
          <w:sz w:val="24"/>
          <w:szCs w:val="24"/>
        </w:rPr>
        <w:t xml:space="preserve"> apmērā</w:t>
      </w:r>
      <w:r w:rsidR="00B101E9" w:rsidRPr="009B21DE">
        <w:rPr>
          <w:rFonts w:ascii="Times New Roman" w:hAnsi="Times New Roman" w:cs="Times New Roman"/>
          <w:sz w:val="24"/>
          <w:szCs w:val="24"/>
        </w:rPr>
        <w:t xml:space="preserve">. Plānotie ieņēmumi ir </w:t>
      </w:r>
      <w:r w:rsidR="00E243EE">
        <w:rPr>
          <w:rFonts w:ascii="Times New Roman" w:hAnsi="Times New Roman" w:cs="Times New Roman"/>
          <w:sz w:val="24"/>
          <w:szCs w:val="24"/>
        </w:rPr>
        <w:t>par 4,</w:t>
      </w:r>
      <w:r w:rsidR="001A2611">
        <w:rPr>
          <w:rFonts w:ascii="Times New Roman" w:hAnsi="Times New Roman" w:cs="Times New Roman"/>
          <w:sz w:val="24"/>
          <w:szCs w:val="24"/>
        </w:rPr>
        <w:t>6</w:t>
      </w:r>
      <w:r w:rsidR="00CF54E8">
        <w:rPr>
          <w:rFonts w:ascii="Times New Roman" w:hAnsi="Times New Roman" w:cs="Times New Roman"/>
          <w:sz w:val="24"/>
          <w:szCs w:val="24"/>
        </w:rPr>
        <w:t xml:space="preserve">% vairāk </w:t>
      </w:r>
      <w:r w:rsidR="00D32757">
        <w:rPr>
          <w:rFonts w:ascii="Times New Roman" w:hAnsi="Times New Roman" w:cs="Times New Roman"/>
          <w:sz w:val="24"/>
          <w:szCs w:val="24"/>
        </w:rPr>
        <w:t>ne</w:t>
      </w:r>
      <w:r w:rsidR="00CF54E8">
        <w:rPr>
          <w:rFonts w:ascii="Times New Roman" w:hAnsi="Times New Roman" w:cs="Times New Roman"/>
          <w:sz w:val="24"/>
          <w:szCs w:val="24"/>
        </w:rPr>
        <w:t xml:space="preserve">kā </w:t>
      </w:r>
      <w:r w:rsidR="001A2611">
        <w:rPr>
          <w:rFonts w:ascii="Times New Roman" w:hAnsi="Times New Roman" w:cs="Times New Roman"/>
          <w:sz w:val="24"/>
          <w:szCs w:val="24"/>
        </w:rPr>
        <w:t>2016</w:t>
      </w:r>
      <w:r w:rsidR="00B101E9" w:rsidRPr="009B21DE">
        <w:rPr>
          <w:rFonts w:ascii="Times New Roman" w:hAnsi="Times New Roman" w:cs="Times New Roman"/>
          <w:sz w:val="24"/>
          <w:szCs w:val="24"/>
        </w:rPr>
        <w:t>.gadā sākotnēji plānotie (</w:t>
      </w:r>
      <w:r w:rsidR="001A2611">
        <w:rPr>
          <w:rFonts w:ascii="Times New Roman" w:hAnsi="Times New Roman" w:cs="Times New Roman"/>
          <w:sz w:val="24"/>
          <w:szCs w:val="24"/>
        </w:rPr>
        <w:t>31 048 731</w:t>
      </w:r>
      <w:r w:rsidR="00EA30E6" w:rsidRPr="009B21DE">
        <w:rPr>
          <w:rFonts w:ascii="Times New Roman" w:hAnsi="Times New Roman" w:cs="Times New Roman"/>
          <w:sz w:val="24"/>
          <w:szCs w:val="24"/>
        </w:rPr>
        <w:t xml:space="preserve"> </w:t>
      </w:r>
      <w:r w:rsidR="00E243EE">
        <w:rPr>
          <w:rFonts w:ascii="Times New Roman" w:hAnsi="Times New Roman" w:cs="Times New Roman"/>
          <w:sz w:val="24"/>
          <w:szCs w:val="24"/>
        </w:rPr>
        <w:t>EUR</w:t>
      </w:r>
      <w:r w:rsidR="00B101E9" w:rsidRPr="009B21DE">
        <w:rPr>
          <w:rFonts w:ascii="Times New Roman" w:hAnsi="Times New Roman" w:cs="Times New Roman"/>
          <w:sz w:val="24"/>
          <w:szCs w:val="24"/>
        </w:rPr>
        <w:t xml:space="preserve">). Pašvaldības pamatbudžetu ieņēmumus veido nodokļu un nenodokļu ieņēmumi, maksas pakalpojumi un citi pašu ieņēmumi, valsts mērķdotācijas un citu budžetu transferti. </w:t>
      </w:r>
    </w:p>
    <w:p w:rsidR="001F7C34" w:rsidRDefault="00103995" w:rsidP="004A6D8D">
      <w:pPr>
        <w:spacing w:after="0"/>
        <w:jc w:val="both"/>
        <w:rPr>
          <w:rFonts w:ascii="Times New Roman" w:hAnsi="Times New Roman" w:cs="Times New Roman"/>
          <w:sz w:val="24"/>
          <w:szCs w:val="24"/>
        </w:rPr>
      </w:pPr>
      <w:r w:rsidRPr="005A3E04">
        <w:rPr>
          <w:rFonts w:ascii="Times New Roman" w:hAnsi="Times New Roman" w:cs="Times New Roman"/>
          <w:b/>
          <w:sz w:val="24"/>
          <w:szCs w:val="24"/>
        </w:rPr>
        <w:t>Nodokļu ieņēmumi</w:t>
      </w:r>
      <w:r w:rsidRPr="009B21DE">
        <w:rPr>
          <w:rFonts w:ascii="Times New Roman" w:hAnsi="Times New Roman" w:cs="Times New Roman"/>
          <w:sz w:val="24"/>
          <w:szCs w:val="24"/>
        </w:rPr>
        <w:t xml:space="preserve"> ir galvenais pašvaldības ieņēmumu avots. Lielākais īpatsvars nodokļu ieņēmumos ir i</w:t>
      </w:r>
      <w:r w:rsidR="001A5A1C" w:rsidRPr="009B21DE">
        <w:rPr>
          <w:rFonts w:ascii="Times New Roman" w:hAnsi="Times New Roman" w:cs="Times New Roman"/>
          <w:sz w:val="24"/>
          <w:szCs w:val="24"/>
        </w:rPr>
        <w:t>edzīvotāju ienākuma nodok</w:t>
      </w:r>
      <w:r w:rsidR="00CF54E8">
        <w:rPr>
          <w:rFonts w:ascii="Times New Roman" w:hAnsi="Times New Roman" w:cs="Times New Roman"/>
          <w:sz w:val="24"/>
          <w:szCs w:val="24"/>
        </w:rPr>
        <w:t>lis</w:t>
      </w:r>
      <w:r w:rsidR="007C6648">
        <w:rPr>
          <w:rFonts w:ascii="Times New Roman" w:hAnsi="Times New Roman" w:cs="Times New Roman"/>
          <w:sz w:val="24"/>
          <w:szCs w:val="24"/>
        </w:rPr>
        <w:t xml:space="preserve"> </w:t>
      </w:r>
      <w:r w:rsidR="00C13A82">
        <w:rPr>
          <w:rFonts w:ascii="Times New Roman" w:hAnsi="Times New Roman" w:cs="Times New Roman"/>
          <w:sz w:val="24"/>
          <w:szCs w:val="24"/>
        </w:rPr>
        <w:t>15 643 412</w:t>
      </w:r>
      <w:r w:rsidR="007C6648">
        <w:rPr>
          <w:rFonts w:ascii="Times New Roman" w:hAnsi="Times New Roman" w:cs="Times New Roman"/>
          <w:sz w:val="24"/>
          <w:szCs w:val="24"/>
        </w:rPr>
        <w:t xml:space="preserve"> </w:t>
      </w:r>
      <w:r w:rsidR="00E243EE">
        <w:rPr>
          <w:rFonts w:ascii="Times New Roman" w:hAnsi="Times New Roman" w:cs="Times New Roman"/>
          <w:sz w:val="24"/>
          <w:szCs w:val="24"/>
        </w:rPr>
        <w:t>EUR</w:t>
      </w:r>
      <w:r w:rsidR="00C13A82">
        <w:rPr>
          <w:rFonts w:ascii="Times New Roman" w:hAnsi="Times New Roman" w:cs="Times New Roman"/>
          <w:sz w:val="24"/>
          <w:szCs w:val="24"/>
        </w:rPr>
        <w:t xml:space="preserve"> (48%), salīdzināj</w:t>
      </w:r>
      <w:r w:rsidR="00E243EE">
        <w:rPr>
          <w:rFonts w:ascii="Times New Roman" w:hAnsi="Times New Roman" w:cs="Times New Roman"/>
          <w:sz w:val="24"/>
          <w:szCs w:val="24"/>
        </w:rPr>
        <w:t>umā ar 2016.gadu pieaugums ir 3,</w:t>
      </w:r>
      <w:r w:rsidR="00C13A82">
        <w:rPr>
          <w:rFonts w:ascii="Times New Roman" w:hAnsi="Times New Roman" w:cs="Times New Roman"/>
          <w:sz w:val="24"/>
          <w:szCs w:val="24"/>
        </w:rPr>
        <w:t>3</w:t>
      </w:r>
      <w:r w:rsidR="008B3167" w:rsidRPr="009B21DE">
        <w:rPr>
          <w:rFonts w:ascii="Times New Roman" w:hAnsi="Times New Roman" w:cs="Times New Roman"/>
          <w:sz w:val="24"/>
          <w:szCs w:val="24"/>
        </w:rPr>
        <w:t>% (</w:t>
      </w:r>
      <w:r w:rsidR="00C13A82">
        <w:rPr>
          <w:rFonts w:ascii="Times New Roman" w:hAnsi="Times New Roman" w:cs="Times New Roman"/>
          <w:sz w:val="24"/>
          <w:szCs w:val="24"/>
        </w:rPr>
        <w:t>512 619</w:t>
      </w:r>
      <w:r w:rsidR="001F059A">
        <w:rPr>
          <w:rFonts w:ascii="Times New Roman" w:hAnsi="Times New Roman" w:cs="Times New Roman"/>
          <w:sz w:val="24"/>
          <w:szCs w:val="24"/>
        </w:rPr>
        <w:t xml:space="preserve"> </w:t>
      </w:r>
      <w:r w:rsidR="00E243EE">
        <w:rPr>
          <w:rFonts w:ascii="Times New Roman" w:hAnsi="Times New Roman" w:cs="Times New Roman"/>
          <w:sz w:val="24"/>
          <w:szCs w:val="24"/>
        </w:rPr>
        <w:t>EUR</w:t>
      </w:r>
      <w:r w:rsidR="00AE36BC" w:rsidRPr="009B21DE">
        <w:rPr>
          <w:rFonts w:ascii="Times New Roman" w:hAnsi="Times New Roman" w:cs="Times New Roman"/>
          <w:sz w:val="24"/>
          <w:szCs w:val="24"/>
        </w:rPr>
        <w:t xml:space="preserve">). </w:t>
      </w:r>
      <w:r w:rsidR="001F7C34">
        <w:rPr>
          <w:rFonts w:ascii="Times New Roman" w:hAnsi="Times New Roman" w:cs="Times New Roman"/>
          <w:sz w:val="24"/>
          <w:szCs w:val="24"/>
        </w:rPr>
        <w:t>Ienākuma nodo</w:t>
      </w:r>
      <w:r w:rsidR="00E55E5D">
        <w:rPr>
          <w:rFonts w:ascii="Times New Roman" w:hAnsi="Times New Roman" w:cs="Times New Roman"/>
          <w:sz w:val="24"/>
          <w:szCs w:val="24"/>
        </w:rPr>
        <w:t>kļu budžeta ieņēmumu apjoms 2017</w:t>
      </w:r>
      <w:r w:rsidR="001F7C34">
        <w:rPr>
          <w:rFonts w:ascii="Times New Roman" w:hAnsi="Times New Roman" w:cs="Times New Roman"/>
          <w:sz w:val="24"/>
          <w:szCs w:val="24"/>
        </w:rPr>
        <w:t>.gadam tiek noteikts atbilstīg</w:t>
      </w:r>
      <w:r w:rsidR="0065377F">
        <w:rPr>
          <w:rFonts w:ascii="Times New Roman" w:hAnsi="Times New Roman" w:cs="Times New Roman"/>
          <w:sz w:val="24"/>
          <w:szCs w:val="24"/>
        </w:rPr>
        <w:t>i Ministru kabineta noteikumiem</w:t>
      </w:r>
      <w:r w:rsidR="001F7C34">
        <w:rPr>
          <w:rFonts w:ascii="Times New Roman" w:hAnsi="Times New Roman" w:cs="Times New Roman"/>
          <w:sz w:val="24"/>
          <w:szCs w:val="24"/>
        </w:rPr>
        <w:t xml:space="preserve"> “Kārtība, kādā iedzīvotāju ienākuma nodokli, ar nodokli saistīto nokavējuma naudu un soda naudu ieskaita budžetā”. Ši</w:t>
      </w:r>
      <w:r w:rsidR="007572BD">
        <w:rPr>
          <w:rFonts w:ascii="Times New Roman" w:hAnsi="Times New Roman" w:cs="Times New Roman"/>
          <w:sz w:val="24"/>
          <w:szCs w:val="24"/>
        </w:rPr>
        <w:t>e noteikumi paredz, ka kalendārajā</w:t>
      </w:r>
      <w:r w:rsidR="001F7C34">
        <w:rPr>
          <w:rFonts w:ascii="Times New Roman" w:hAnsi="Times New Roman" w:cs="Times New Roman"/>
          <w:sz w:val="24"/>
          <w:szCs w:val="24"/>
        </w:rPr>
        <w:t xml:space="preserve"> gadā pašvaldības budžetā ieskaitāmo nodokļa ieņēmumu daļu nosaka, pamatojoties uz katras pašvaldības īpatsvara koeficientu kopējos valstī iekasētajos nodokļa ieņēmumos no nodokļa maksātāju taksācijas gada ienākumiem pirms diviem gadiem</w:t>
      </w:r>
      <w:r w:rsidR="0065377F">
        <w:rPr>
          <w:rFonts w:ascii="Times New Roman" w:hAnsi="Times New Roman" w:cs="Times New Roman"/>
          <w:sz w:val="24"/>
          <w:szCs w:val="24"/>
        </w:rPr>
        <w:t>.</w:t>
      </w:r>
      <w:r w:rsidR="001F7C34">
        <w:rPr>
          <w:rFonts w:ascii="Times New Roman" w:hAnsi="Times New Roman" w:cs="Times New Roman"/>
          <w:sz w:val="24"/>
          <w:szCs w:val="24"/>
        </w:rPr>
        <w:t xml:space="preserve"> </w:t>
      </w:r>
      <w:r w:rsidR="00CF54E8">
        <w:rPr>
          <w:rFonts w:ascii="Times New Roman" w:hAnsi="Times New Roman" w:cs="Times New Roman"/>
          <w:sz w:val="24"/>
          <w:szCs w:val="24"/>
        </w:rPr>
        <w:t>I</w:t>
      </w:r>
      <w:r w:rsidR="00022A88" w:rsidRPr="009B21DE">
        <w:rPr>
          <w:rFonts w:ascii="Times New Roman" w:hAnsi="Times New Roman" w:cs="Times New Roman"/>
          <w:sz w:val="24"/>
          <w:szCs w:val="24"/>
        </w:rPr>
        <w:t>edzīvotāju ienākuma nodokļa prognoze ir noteikta, ka pašvaldību īpatsvars iedzīvotāju ienākuma nodokļa sadalē neti</w:t>
      </w:r>
      <w:r w:rsidR="00E55E5D">
        <w:rPr>
          <w:rFonts w:ascii="Times New Roman" w:hAnsi="Times New Roman" w:cs="Times New Roman"/>
          <w:sz w:val="24"/>
          <w:szCs w:val="24"/>
        </w:rPr>
        <w:t>ek mainīts salīdzinājumā ar 2016</w:t>
      </w:r>
      <w:r w:rsidR="00022A88" w:rsidRPr="009B21DE">
        <w:rPr>
          <w:rFonts w:ascii="Times New Roman" w:hAnsi="Times New Roman" w:cs="Times New Roman"/>
          <w:sz w:val="24"/>
          <w:szCs w:val="24"/>
        </w:rPr>
        <w:t xml:space="preserve">.gadu – 80% pašvaldību budžetos un 20% valsts budžetā. </w:t>
      </w:r>
      <w:r w:rsidR="00F55130">
        <w:rPr>
          <w:rFonts w:ascii="Times New Roman" w:hAnsi="Times New Roman" w:cs="Times New Roman"/>
          <w:sz w:val="24"/>
          <w:szCs w:val="24"/>
        </w:rPr>
        <w:t>Iedzīvotāju ienākuma no</w:t>
      </w:r>
      <w:r w:rsidR="0065377F">
        <w:rPr>
          <w:rFonts w:ascii="Times New Roman" w:hAnsi="Times New Roman" w:cs="Times New Roman"/>
          <w:sz w:val="24"/>
          <w:szCs w:val="24"/>
        </w:rPr>
        <w:t xml:space="preserve">dokļa 2017.gada prognozi nosaka </w:t>
      </w:r>
      <w:r w:rsidR="007572BD">
        <w:rPr>
          <w:rFonts w:ascii="Times New Roman" w:hAnsi="Times New Roman" w:cs="Times New Roman"/>
          <w:sz w:val="24"/>
          <w:szCs w:val="24"/>
        </w:rPr>
        <w:t>L</w:t>
      </w:r>
      <w:r w:rsidR="00F55130">
        <w:rPr>
          <w:rFonts w:ascii="Times New Roman" w:hAnsi="Times New Roman" w:cs="Times New Roman"/>
          <w:sz w:val="24"/>
          <w:szCs w:val="24"/>
        </w:rPr>
        <w:t xml:space="preserve">R Finanšu ministrija un tās pamatā ir darba samaksas fonda prognozētie plāni, minimālās mēnešalgas paaugstināšana no 370 </w:t>
      </w:r>
      <w:r w:rsidR="0065377F">
        <w:rPr>
          <w:rFonts w:ascii="Times New Roman" w:hAnsi="Times New Roman" w:cs="Times New Roman"/>
          <w:sz w:val="24"/>
          <w:szCs w:val="24"/>
        </w:rPr>
        <w:t>EUR</w:t>
      </w:r>
      <w:r w:rsidR="00F55130">
        <w:rPr>
          <w:rFonts w:ascii="Times New Roman" w:hAnsi="Times New Roman" w:cs="Times New Roman"/>
          <w:sz w:val="24"/>
          <w:szCs w:val="24"/>
        </w:rPr>
        <w:t xml:space="preserve"> līdz 380 </w:t>
      </w:r>
      <w:r w:rsidR="0065377F">
        <w:rPr>
          <w:rFonts w:ascii="Times New Roman" w:hAnsi="Times New Roman" w:cs="Times New Roman"/>
          <w:sz w:val="24"/>
          <w:szCs w:val="24"/>
        </w:rPr>
        <w:t>EUR</w:t>
      </w:r>
      <w:r w:rsidR="007572BD">
        <w:rPr>
          <w:rFonts w:ascii="Times New Roman" w:hAnsi="Times New Roman" w:cs="Times New Roman"/>
          <w:sz w:val="24"/>
          <w:szCs w:val="24"/>
        </w:rPr>
        <w:t>, ar iedzīvotāju ienākum</w:t>
      </w:r>
      <w:r w:rsidR="00F55130">
        <w:rPr>
          <w:rFonts w:ascii="Times New Roman" w:hAnsi="Times New Roman" w:cs="Times New Roman"/>
          <w:sz w:val="24"/>
          <w:szCs w:val="24"/>
        </w:rPr>
        <w:t>a nodokli neapliekamais minimums un atvieglojuma apmērs par apgādībā esošu personu.</w:t>
      </w:r>
    </w:p>
    <w:p w:rsidR="00F053FC" w:rsidRPr="002F1ED1" w:rsidRDefault="00A4756B" w:rsidP="002F1ED1">
      <w:pPr>
        <w:ind w:firstLine="360"/>
        <w:jc w:val="both"/>
        <w:rPr>
          <w:rFonts w:ascii="Times New Roman" w:hAnsi="Times New Roman" w:cs="Times New Roman"/>
          <w:sz w:val="24"/>
          <w:szCs w:val="24"/>
        </w:rPr>
      </w:pPr>
      <w:r w:rsidRPr="009B21DE">
        <w:rPr>
          <w:rFonts w:ascii="Times New Roman" w:hAnsi="Times New Roman" w:cs="Times New Roman"/>
          <w:sz w:val="24"/>
          <w:szCs w:val="24"/>
        </w:rPr>
        <w:t>S</w:t>
      </w:r>
      <w:r w:rsidR="007E0B6F" w:rsidRPr="009B21DE">
        <w:rPr>
          <w:rFonts w:ascii="Times New Roman" w:hAnsi="Times New Roman" w:cs="Times New Roman"/>
          <w:sz w:val="24"/>
          <w:szCs w:val="24"/>
        </w:rPr>
        <w:t>askaņā ar</w:t>
      </w:r>
      <w:r w:rsidR="00B101E9" w:rsidRPr="009B21DE">
        <w:rPr>
          <w:rFonts w:ascii="Times New Roman" w:hAnsi="Times New Roman" w:cs="Times New Roman"/>
          <w:sz w:val="24"/>
          <w:szCs w:val="24"/>
        </w:rPr>
        <w:t xml:space="preserve"> nekustamā īpašuma nodokļa </w:t>
      </w:r>
      <w:r w:rsidR="001A5A1C" w:rsidRPr="009B21DE">
        <w:rPr>
          <w:rFonts w:ascii="Times New Roman" w:hAnsi="Times New Roman" w:cs="Times New Roman"/>
          <w:sz w:val="24"/>
          <w:szCs w:val="24"/>
        </w:rPr>
        <w:t>prognozi pašvaldības budžeta īpašuma nodokļa</w:t>
      </w:r>
      <w:r w:rsidR="00AE36BC" w:rsidRPr="009B21DE">
        <w:rPr>
          <w:rFonts w:ascii="Times New Roman" w:hAnsi="Times New Roman" w:cs="Times New Roman"/>
          <w:sz w:val="24"/>
          <w:szCs w:val="24"/>
        </w:rPr>
        <w:t xml:space="preserve"> ieņēmumi </w:t>
      </w:r>
      <w:r w:rsidR="00F94AFC">
        <w:rPr>
          <w:rFonts w:ascii="Times New Roman" w:hAnsi="Times New Roman" w:cs="Times New Roman"/>
          <w:sz w:val="24"/>
          <w:szCs w:val="24"/>
        </w:rPr>
        <w:t>pieaugs par 1,</w:t>
      </w:r>
      <w:r w:rsidR="00E55E5D">
        <w:rPr>
          <w:rFonts w:ascii="Times New Roman" w:hAnsi="Times New Roman" w:cs="Times New Roman"/>
          <w:sz w:val="24"/>
          <w:szCs w:val="24"/>
        </w:rPr>
        <w:t>5</w:t>
      </w:r>
      <w:r w:rsidR="00B101E9" w:rsidRPr="009B21DE">
        <w:rPr>
          <w:rFonts w:ascii="Times New Roman" w:hAnsi="Times New Roman" w:cs="Times New Roman"/>
          <w:sz w:val="24"/>
          <w:szCs w:val="24"/>
        </w:rPr>
        <w:t>%</w:t>
      </w:r>
      <w:r w:rsidR="001A5A1C" w:rsidRPr="009B21DE">
        <w:rPr>
          <w:rFonts w:ascii="Times New Roman" w:hAnsi="Times New Roman" w:cs="Times New Roman"/>
          <w:sz w:val="24"/>
          <w:szCs w:val="24"/>
        </w:rPr>
        <w:t xml:space="preserve"> </w:t>
      </w:r>
      <w:r w:rsidR="00B101E9" w:rsidRPr="009B21DE">
        <w:rPr>
          <w:rFonts w:ascii="Times New Roman" w:hAnsi="Times New Roman" w:cs="Times New Roman"/>
          <w:sz w:val="24"/>
          <w:szCs w:val="24"/>
        </w:rPr>
        <w:t>(</w:t>
      </w:r>
      <w:r w:rsidR="00E55E5D">
        <w:rPr>
          <w:rFonts w:ascii="Times New Roman" w:hAnsi="Times New Roman" w:cs="Times New Roman"/>
          <w:sz w:val="24"/>
          <w:szCs w:val="24"/>
        </w:rPr>
        <w:t>18 683</w:t>
      </w:r>
      <w:r w:rsidR="008B3167" w:rsidRPr="009B21DE">
        <w:rPr>
          <w:rFonts w:ascii="Times New Roman" w:hAnsi="Times New Roman" w:cs="Times New Roman"/>
          <w:sz w:val="24"/>
          <w:szCs w:val="24"/>
        </w:rPr>
        <w:t xml:space="preserve"> </w:t>
      </w:r>
      <w:r w:rsidR="00F94AFC">
        <w:rPr>
          <w:rFonts w:ascii="Times New Roman" w:hAnsi="Times New Roman" w:cs="Times New Roman"/>
          <w:sz w:val="24"/>
          <w:szCs w:val="24"/>
        </w:rPr>
        <w:t>EUR</w:t>
      </w:r>
      <w:r w:rsidR="00B101E9" w:rsidRPr="009B21DE">
        <w:rPr>
          <w:rFonts w:ascii="Times New Roman" w:hAnsi="Times New Roman" w:cs="Times New Roman"/>
          <w:sz w:val="24"/>
          <w:szCs w:val="24"/>
        </w:rPr>
        <w:t>)</w:t>
      </w:r>
      <w:r w:rsidR="0042353E" w:rsidRPr="009B21DE">
        <w:rPr>
          <w:rFonts w:ascii="Times New Roman" w:hAnsi="Times New Roman" w:cs="Times New Roman"/>
          <w:sz w:val="24"/>
          <w:szCs w:val="24"/>
        </w:rPr>
        <w:t>.</w:t>
      </w:r>
      <w:r w:rsidR="000E17EE" w:rsidRPr="009B21DE">
        <w:rPr>
          <w:rFonts w:ascii="Times New Roman" w:hAnsi="Times New Roman" w:cs="Times New Roman"/>
          <w:sz w:val="24"/>
          <w:szCs w:val="24"/>
        </w:rPr>
        <w:t xml:space="preserve"> </w:t>
      </w:r>
      <w:r w:rsidR="000E17EE" w:rsidRPr="00D013EB">
        <w:rPr>
          <w:rFonts w:ascii="Times New Roman" w:hAnsi="Times New Roman" w:cs="Times New Roman"/>
          <w:sz w:val="24"/>
          <w:szCs w:val="24"/>
        </w:rPr>
        <w:t>Š</w:t>
      </w:r>
      <w:r w:rsidR="00E55E5D">
        <w:rPr>
          <w:rFonts w:ascii="Times New Roman" w:hAnsi="Times New Roman" w:cs="Times New Roman"/>
          <w:sz w:val="24"/>
          <w:szCs w:val="24"/>
        </w:rPr>
        <w:t>ī nodokļa ieņēmumu prognozi 2017</w:t>
      </w:r>
      <w:r w:rsidR="000E17EE" w:rsidRPr="00D013EB">
        <w:rPr>
          <w:rFonts w:ascii="Times New Roman" w:hAnsi="Times New Roman" w:cs="Times New Roman"/>
          <w:sz w:val="24"/>
          <w:szCs w:val="24"/>
        </w:rPr>
        <w:t>.gadā</w:t>
      </w:r>
      <w:r w:rsidR="00CF54E8" w:rsidRPr="00D013EB">
        <w:rPr>
          <w:rFonts w:ascii="Times New Roman" w:hAnsi="Times New Roman" w:cs="Times New Roman"/>
          <w:sz w:val="24"/>
          <w:szCs w:val="24"/>
        </w:rPr>
        <w:t xml:space="preserve"> </w:t>
      </w:r>
      <w:r w:rsidR="000E17EE" w:rsidRPr="00D013EB">
        <w:rPr>
          <w:rFonts w:ascii="Times New Roman" w:hAnsi="Times New Roman" w:cs="Times New Roman"/>
          <w:sz w:val="24"/>
          <w:szCs w:val="24"/>
        </w:rPr>
        <w:t xml:space="preserve">noteiktais </w:t>
      </w:r>
      <w:proofErr w:type="spellStart"/>
      <w:r w:rsidR="000E17EE" w:rsidRPr="00D013EB">
        <w:rPr>
          <w:rFonts w:ascii="Times New Roman" w:hAnsi="Times New Roman" w:cs="Times New Roman"/>
          <w:sz w:val="24"/>
          <w:szCs w:val="24"/>
        </w:rPr>
        <w:t>iekasē</w:t>
      </w:r>
      <w:r w:rsidR="00F81F92" w:rsidRPr="00D013EB">
        <w:rPr>
          <w:rFonts w:ascii="Times New Roman" w:hAnsi="Times New Roman" w:cs="Times New Roman"/>
          <w:sz w:val="24"/>
          <w:szCs w:val="24"/>
        </w:rPr>
        <w:t>jamības</w:t>
      </w:r>
      <w:proofErr w:type="spellEnd"/>
      <w:r w:rsidR="00F81F92" w:rsidRPr="00D013EB">
        <w:rPr>
          <w:rFonts w:ascii="Times New Roman" w:hAnsi="Times New Roman" w:cs="Times New Roman"/>
          <w:sz w:val="24"/>
          <w:szCs w:val="24"/>
        </w:rPr>
        <w:t xml:space="preserve"> koeficients ir</w:t>
      </w:r>
      <w:r w:rsidR="00CF54E8" w:rsidRPr="00D013EB">
        <w:rPr>
          <w:rFonts w:ascii="Times New Roman" w:hAnsi="Times New Roman" w:cs="Times New Roman"/>
          <w:sz w:val="24"/>
          <w:szCs w:val="24"/>
        </w:rPr>
        <w:t xml:space="preserve"> 80%</w:t>
      </w:r>
      <w:r w:rsidR="000E17EE" w:rsidRPr="00D013EB">
        <w:rPr>
          <w:rFonts w:ascii="Times New Roman" w:hAnsi="Times New Roman" w:cs="Times New Roman"/>
          <w:sz w:val="24"/>
          <w:szCs w:val="24"/>
        </w:rPr>
        <w:t xml:space="preserve">. </w:t>
      </w:r>
      <w:r w:rsidR="00E60495" w:rsidRPr="00D013EB">
        <w:rPr>
          <w:rFonts w:ascii="Times New Roman" w:hAnsi="Times New Roman" w:cs="Times New Roman"/>
          <w:sz w:val="24"/>
          <w:szCs w:val="24"/>
        </w:rPr>
        <w:t>Parādu</w:t>
      </w:r>
      <w:r w:rsidRPr="00D013EB">
        <w:rPr>
          <w:rFonts w:ascii="Times New Roman" w:hAnsi="Times New Roman" w:cs="Times New Roman"/>
          <w:sz w:val="24"/>
          <w:szCs w:val="24"/>
        </w:rPr>
        <w:t>s</w:t>
      </w:r>
      <w:r w:rsidR="00E60495" w:rsidRPr="00D013EB">
        <w:rPr>
          <w:rFonts w:ascii="Times New Roman" w:hAnsi="Times New Roman" w:cs="Times New Roman"/>
          <w:sz w:val="24"/>
          <w:szCs w:val="24"/>
        </w:rPr>
        <w:t xml:space="preserve"> par nekustamā īpašuma nodokli </w:t>
      </w:r>
      <w:r w:rsidRPr="00D013EB">
        <w:rPr>
          <w:rFonts w:ascii="Times New Roman" w:hAnsi="Times New Roman" w:cs="Times New Roman"/>
          <w:sz w:val="24"/>
          <w:szCs w:val="24"/>
        </w:rPr>
        <w:t xml:space="preserve">tiek plānots iekasēt </w:t>
      </w:r>
      <w:r w:rsidR="00F94AFC">
        <w:rPr>
          <w:rFonts w:ascii="Times New Roman" w:hAnsi="Times New Roman" w:cs="Times New Roman"/>
          <w:sz w:val="24"/>
          <w:szCs w:val="24"/>
        </w:rPr>
        <w:t>70</w:t>
      </w:r>
      <w:r w:rsidR="004353AC" w:rsidRPr="00AB2542">
        <w:rPr>
          <w:rFonts w:ascii="Times New Roman" w:hAnsi="Times New Roman" w:cs="Times New Roman"/>
          <w:sz w:val="24"/>
          <w:szCs w:val="24"/>
        </w:rPr>
        <w:t>% (</w:t>
      </w:r>
      <w:r w:rsidR="005543A6" w:rsidRPr="00AB2542">
        <w:rPr>
          <w:rFonts w:ascii="Times New Roman" w:hAnsi="Times New Roman" w:cs="Times New Roman"/>
          <w:sz w:val="24"/>
          <w:szCs w:val="24"/>
        </w:rPr>
        <w:t>215 000</w:t>
      </w:r>
      <w:r w:rsidR="00F665A0" w:rsidRPr="00AB2542">
        <w:rPr>
          <w:rFonts w:ascii="Times New Roman" w:hAnsi="Times New Roman" w:cs="Times New Roman"/>
          <w:sz w:val="24"/>
          <w:szCs w:val="24"/>
        </w:rPr>
        <w:t xml:space="preserve"> </w:t>
      </w:r>
      <w:r w:rsidR="00F94AFC">
        <w:rPr>
          <w:rFonts w:ascii="Times New Roman" w:hAnsi="Times New Roman" w:cs="Times New Roman"/>
          <w:sz w:val="24"/>
          <w:szCs w:val="24"/>
        </w:rPr>
        <w:t>EUR</w:t>
      </w:r>
      <w:r w:rsidR="00F665A0" w:rsidRPr="00AB2542">
        <w:rPr>
          <w:rFonts w:ascii="Times New Roman" w:hAnsi="Times New Roman" w:cs="Times New Roman"/>
          <w:sz w:val="24"/>
          <w:szCs w:val="24"/>
        </w:rPr>
        <w:t>) no aprēķinātā parāda</w:t>
      </w:r>
      <w:r w:rsidR="005543A6" w:rsidRPr="00AB2542">
        <w:rPr>
          <w:rFonts w:ascii="Times New Roman" w:hAnsi="Times New Roman" w:cs="Times New Roman"/>
          <w:sz w:val="24"/>
          <w:szCs w:val="24"/>
        </w:rPr>
        <w:t xml:space="preserve"> 308 703</w:t>
      </w:r>
      <w:r w:rsidR="00D013EB" w:rsidRPr="00AB2542">
        <w:rPr>
          <w:rFonts w:ascii="Times New Roman" w:hAnsi="Times New Roman" w:cs="Times New Roman"/>
          <w:sz w:val="24"/>
          <w:szCs w:val="24"/>
        </w:rPr>
        <w:t xml:space="preserve"> </w:t>
      </w:r>
      <w:r w:rsidR="00F94AFC">
        <w:rPr>
          <w:rFonts w:ascii="Times New Roman" w:hAnsi="Times New Roman" w:cs="Times New Roman"/>
          <w:sz w:val="24"/>
          <w:szCs w:val="24"/>
        </w:rPr>
        <w:t>EUR</w:t>
      </w:r>
      <w:r w:rsidR="004353AC" w:rsidRPr="00AB2542">
        <w:rPr>
          <w:rFonts w:ascii="Times New Roman" w:hAnsi="Times New Roman" w:cs="Times New Roman"/>
          <w:sz w:val="24"/>
          <w:szCs w:val="24"/>
        </w:rPr>
        <w:t>.</w:t>
      </w:r>
      <w:r w:rsidR="00E60495" w:rsidRPr="009B21DE">
        <w:rPr>
          <w:rFonts w:ascii="Times New Roman" w:hAnsi="Times New Roman" w:cs="Times New Roman"/>
          <w:sz w:val="24"/>
          <w:szCs w:val="24"/>
        </w:rPr>
        <w:t xml:space="preserve"> </w:t>
      </w:r>
      <w:r w:rsidR="00F053FC" w:rsidRPr="002F1ED1">
        <w:rPr>
          <w:rFonts w:ascii="Times New Roman" w:hAnsi="Times New Roman" w:cs="Times New Roman"/>
          <w:bCs/>
          <w:sz w:val="24"/>
          <w:szCs w:val="24"/>
        </w:rPr>
        <w:t>2017.gada prognoze</w:t>
      </w:r>
      <w:r w:rsidR="00071C4D">
        <w:rPr>
          <w:rFonts w:ascii="Times New Roman" w:hAnsi="Times New Roman" w:cs="Times New Roman"/>
          <w:sz w:val="24"/>
          <w:szCs w:val="24"/>
        </w:rPr>
        <w:t xml:space="preserve"> zemei 1 145 835 EUR; ēkām 323 231 EUR</w:t>
      </w:r>
      <w:r w:rsidR="00F053FC" w:rsidRPr="002F1ED1">
        <w:rPr>
          <w:rFonts w:ascii="Times New Roman" w:hAnsi="Times New Roman" w:cs="Times New Roman"/>
          <w:sz w:val="24"/>
          <w:szCs w:val="24"/>
        </w:rPr>
        <w:t>; inženierbūves 26</w:t>
      </w:r>
      <w:r w:rsidR="00D215A0">
        <w:rPr>
          <w:rFonts w:ascii="Times New Roman" w:hAnsi="Times New Roman" w:cs="Times New Roman"/>
          <w:sz w:val="24"/>
          <w:szCs w:val="24"/>
        </w:rPr>
        <w:t> </w:t>
      </w:r>
      <w:r w:rsidR="00F053FC" w:rsidRPr="002F1ED1">
        <w:rPr>
          <w:rFonts w:ascii="Times New Roman" w:hAnsi="Times New Roman" w:cs="Times New Roman"/>
          <w:sz w:val="24"/>
          <w:szCs w:val="24"/>
        </w:rPr>
        <w:t xml:space="preserve">603 </w:t>
      </w:r>
      <w:r w:rsidR="00071C4D">
        <w:rPr>
          <w:rFonts w:ascii="Times New Roman" w:hAnsi="Times New Roman" w:cs="Times New Roman"/>
          <w:sz w:val="24"/>
          <w:szCs w:val="24"/>
        </w:rPr>
        <w:t>EUR</w:t>
      </w:r>
      <w:r w:rsidR="00F053FC" w:rsidRPr="00D215A0">
        <w:rPr>
          <w:rFonts w:ascii="Times New Roman" w:hAnsi="Times New Roman" w:cs="Times New Roman"/>
          <w:i/>
          <w:sz w:val="24"/>
          <w:szCs w:val="24"/>
        </w:rPr>
        <w:t>;</w:t>
      </w:r>
      <w:r w:rsidR="00F053FC" w:rsidRPr="002F1ED1">
        <w:rPr>
          <w:rFonts w:ascii="Times New Roman" w:hAnsi="Times New Roman" w:cs="Times New Roman"/>
          <w:sz w:val="24"/>
          <w:szCs w:val="24"/>
        </w:rPr>
        <w:t xml:space="preserve"> mājoklim 152 517 </w:t>
      </w:r>
      <w:r w:rsidR="00071C4D">
        <w:rPr>
          <w:rFonts w:ascii="Times New Roman" w:hAnsi="Times New Roman" w:cs="Times New Roman"/>
          <w:sz w:val="24"/>
          <w:szCs w:val="24"/>
        </w:rPr>
        <w:t>EUR</w:t>
      </w:r>
      <w:r w:rsidR="00F053FC" w:rsidRPr="002F1ED1">
        <w:rPr>
          <w:rFonts w:ascii="Times New Roman" w:hAnsi="Times New Roman" w:cs="Times New Roman"/>
          <w:sz w:val="24"/>
          <w:szCs w:val="24"/>
        </w:rPr>
        <w:t xml:space="preserve">. </w:t>
      </w:r>
      <w:r w:rsidR="00071C4D">
        <w:rPr>
          <w:rFonts w:ascii="Times New Roman" w:hAnsi="Times New Roman" w:cs="Times New Roman"/>
          <w:bCs/>
          <w:sz w:val="24"/>
          <w:szCs w:val="24"/>
        </w:rPr>
        <w:t>Kopā</w:t>
      </w:r>
      <w:r w:rsidR="00F053FC" w:rsidRPr="002F1ED1">
        <w:rPr>
          <w:rFonts w:ascii="Times New Roman" w:hAnsi="Times New Roman" w:cs="Times New Roman"/>
          <w:bCs/>
          <w:sz w:val="24"/>
          <w:szCs w:val="24"/>
        </w:rPr>
        <w:t xml:space="preserve"> 1 648 186 </w:t>
      </w:r>
      <w:r w:rsidR="00071C4D">
        <w:rPr>
          <w:rFonts w:ascii="Times New Roman" w:hAnsi="Times New Roman" w:cs="Times New Roman"/>
          <w:bCs/>
          <w:sz w:val="24"/>
          <w:szCs w:val="24"/>
        </w:rPr>
        <w:t>EUR</w:t>
      </w:r>
      <w:r w:rsidR="00F053FC" w:rsidRPr="002F1ED1">
        <w:rPr>
          <w:rFonts w:ascii="Times New Roman" w:hAnsi="Times New Roman" w:cs="Times New Roman"/>
          <w:sz w:val="24"/>
          <w:szCs w:val="24"/>
        </w:rPr>
        <w:t>.</w:t>
      </w:r>
      <w:r w:rsidR="002F1ED1">
        <w:rPr>
          <w:rFonts w:ascii="Times New Roman" w:hAnsi="Times New Roman" w:cs="Times New Roman"/>
          <w:sz w:val="24"/>
          <w:szCs w:val="24"/>
        </w:rPr>
        <w:t xml:space="preserve"> </w:t>
      </w:r>
      <w:r w:rsidR="00F053FC" w:rsidRPr="002F1ED1">
        <w:rPr>
          <w:rFonts w:ascii="Times New Roman" w:hAnsi="Times New Roman" w:cs="Times New Roman"/>
          <w:bCs/>
          <w:sz w:val="24"/>
          <w:szCs w:val="24"/>
        </w:rPr>
        <w:t>Ar 23.10.2014.saistoš</w:t>
      </w:r>
      <w:r w:rsidR="007572BD">
        <w:rPr>
          <w:rFonts w:ascii="Times New Roman" w:hAnsi="Times New Roman" w:cs="Times New Roman"/>
          <w:bCs/>
          <w:sz w:val="24"/>
          <w:szCs w:val="24"/>
        </w:rPr>
        <w:t>aj</w:t>
      </w:r>
      <w:r w:rsidR="00F053FC" w:rsidRPr="002F1ED1">
        <w:rPr>
          <w:rFonts w:ascii="Times New Roman" w:hAnsi="Times New Roman" w:cs="Times New Roman"/>
          <w:bCs/>
          <w:sz w:val="24"/>
          <w:szCs w:val="24"/>
        </w:rPr>
        <w:t xml:space="preserve">iem noteikumiem Nr.20 “Par nekustamā īpašuma nodokli Tukuma novadā” </w:t>
      </w:r>
      <w:r w:rsidR="007572BD">
        <w:rPr>
          <w:rFonts w:ascii="Times New Roman" w:hAnsi="Times New Roman" w:cs="Times New Roman"/>
          <w:bCs/>
          <w:sz w:val="24"/>
          <w:szCs w:val="24"/>
        </w:rPr>
        <w:t>pašvaldība piemēro</w:t>
      </w:r>
      <w:r w:rsidR="00F053FC" w:rsidRPr="002F1ED1">
        <w:rPr>
          <w:rFonts w:ascii="Times New Roman" w:hAnsi="Times New Roman" w:cs="Times New Roman"/>
          <w:bCs/>
          <w:sz w:val="24"/>
          <w:szCs w:val="24"/>
        </w:rPr>
        <w:t xml:space="preserve"> atvieglojumus nekustamā īpašuma nodoklim, nodokļu maksātājiem:</w:t>
      </w:r>
    </w:p>
    <w:p w:rsidR="00F053FC" w:rsidRPr="002F1ED1" w:rsidRDefault="00041691" w:rsidP="00F053FC">
      <w:pPr>
        <w:pStyle w:val="ListParagraph"/>
        <w:numPr>
          <w:ilvl w:val="0"/>
          <w:numId w:val="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lastRenderedPageBreak/>
        <w:t>m</w:t>
      </w:r>
      <w:r w:rsidR="00F053FC" w:rsidRPr="002F1ED1">
        <w:rPr>
          <w:rFonts w:ascii="Times New Roman" w:hAnsi="Times New Roman" w:cs="Times New Roman"/>
          <w:sz w:val="24"/>
          <w:szCs w:val="24"/>
        </w:rPr>
        <w:t>aznodrošinātām personām 70% atvieglojumi par to periodu, kurā maksātājs atbilst maznodrošinātās personas statusam;</w:t>
      </w:r>
    </w:p>
    <w:p w:rsidR="00F053FC" w:rsidRPr="002F1ED1" w:rsidRDefault="00F053FC" w:rsidP="00F053FC">
      <w:pPr>
        <w:pStyle w:val="ListParagraph"/>
        <w:numPr>
          <w:ilvl w:val="0"/>
          <w:numId w:val="5"/>
        </w:numPr>
        <w:spacing w:after="0" w:line="240" w:lineRule="auto"/>
        <w:contextualSpacing w:val="0"/>
        <w:rPr>
          <w:rFonts w:ascii="Times New Roman" w:hAnsi="Times New Roman" w:cs="Times New Roman"/>
          <w:sz w:val="24"/>
          <w:szCs w:val="24"/>
        </w:rPr>
      </w:pPr>
      <w:r w:rsidRPr="002F1ED1">
        <w:rPr>
          <w:rFonts w:ascii="Times New Roman" w:hAnsi="Times New Roman" w:cs="Times New Roman"/>
          <w:sz w:val="24"/>
          <w:szCs w:val="24"/>
        </w:rPr>
        <w:t>I un I</w:t>
      </w:r>
      <w:r w:rsidR="00041691">
        <w:rPr>
          <w:rFonts w:ascii="Times New Roman" w:hAnsi="Times New Roman" w:cs="Times New Roman"/>
          <w:sz w:val="24"/>
          <w:szCs w:val="24"/>
        </w:rPr>
        <w:t>I grupas invalīdiem, arī ģimenēm</w:t>
      </w:r>
      <w:r w:rsidRPr="002F1ED1">
        <w:rPr>
          <w:rFonts w:ascii="Times New Roman" w:hAnsi="Times New Roman" w:cs="Times New Roman"/>
          <w:sz w:val="24"/>
          <w:szCs w:val="24"/>
        </w:rPr>
        <w:t xml:space="preserve">, kur aug bērns invalīds, ja </w:t>
      </w:r>
      <w:r w:rsidR="00071C4D">
        <w:rPr>
          <w:rFonts w:ascii="Times New Roman" w:hAnsi="Times New Roman" w:cs="Times New Roman"/>
          <w:sz w:val="24"/>
          <w:szCs w:val="24"/>
        </w:rPr>
        <w:t xml:space="preserve">ir </w:t>
      </w:r>
      <w:r w:rsidRPr="002F1ED1">
        <w:rPr>
          <w:rFonts w:ascii="Times New Roman" w:hAnsi="Times New Roman" w:cs="Times New Roman"/>
          <w:sz w:val="24"/>
          <w:szCs w:val="24"/>
        </w:rPr>
        <w:t xml:space="preserve">īpašumā deklarēts un izmanto </w:t>
      </w:r>
      <w:r w:rsidR="00071C4D">
        <w:rPr>
          <w:rFonts w:ascii="Times New Roman" w:hAnsi="Times New Roman" w:cs="Times New Roman"/>
          <w:sz w:val="24"/>
          <w:szCs w:val="24"/>
        </w:rPr>
        <w:t xml:space="preserve">to </w:t>
      </w:r>
      <w:r w:rsidRPr="002F1ED1">
        <w:rPr>
          <w:rFonts w:ascii="Times New Roman" w:hAnsi="Times New Roman" w:cs="Times New Roman"/>
          <w:sz w:val="24"/>
          <w:szCs w:val="24"/>
        </w:rPr>
        <w:t xml:space="preserve">dzīvošanai, nav citu nekustamo īpašumu </w:t>
      </w:r>
      <w:r w:rsidR="00071C4D">
        <w:rPr>
          <w:rFonts w:ascii="Times New Roman" w:hAnsi="Times New Roman" w:cs="Times New Roman"/>
          <w:sz w:val="24"/>
          <w:szCs w:val="24"/>
        </w:rPr>
        <w:t>–</w:t>
      </w:r>
      <w:r w:rsidRPr="002F1ED1">
        <w:rPr>
          <w:rFonts w:ascii="Times New Roman" w:hAnsi="Times New Roman" w:cs="Times New Roman"/>
          <w:sz w:val="24"/>
          <w:szCs w:val="24"/>
        </w:rPr>
        <w:t xml:space="preserve">  50% atvieglojumus;</w:t>
      </w:r>
    </w:p>
    <w:p w:rsidR="00F053FC" w:rsidRPr="002F1ED1" w:rsidRDefault="00F053FC" w:rsidP="00F053FC">
      <w:pPr>
        <w:pStyle w:val="ListParagraph"/>
        <w:numPr>
          <w:ilvl w:val="0"/>
          <w:numId w:val="5"/>
        </w:numPr>
        <w:spacing w:after="0" w:line="240" w:lineRule="auto"/>
        <w:contextualSpacing w:val="0"/>
        <w:rPr>
          <w:rFonts w:ascii="Times New Roman" w:hAnsi="Times New Roman" w:cs="Times New Roman"/>
          <w:sz w:val="24"/>
          <w:szCs w:val="24"/>
        </w:rPr>
      </w:pPr>
      <w:r w:rsidRPr="002F1ED1">
        <w:rPr>
          <w:rFonts w:ascii="Times New Roman" w:hAnsi="Times New Roman" w:cs="Times New Roman"/>
          <w:sz w:val="24"/>
          <w:szCs w:val="24"/>
        </w:rPr>
        <w:t>kuri iepriekšējā taksācijas periodā renovējuši ēkas vai remontējuši ēkas fasādi Tukuma pi</w:t>
      </w:r>
      <w:r w:rsidR="00071C4D">
        <w:rPr>
          <w:rFonts w:ascii="Times New Roman" w:hAnsi="Times New Roman" w:cs="Times New Roman"/>
          <w:sz w:val="24"/>
          <w:szCs w:val="24"/>
        </w:rPr>
        <w:t>lsētas vēsturiskajā centrā</w:t>
      </w:r>
      <w:r w:rsidRPr="002F1ED1">
        <w:rPr>
          <w:rFonts w:ascii="Times New Roman" w:hAnsi="Times New Roman" w:cs="Times New Roman"/>
          <w:sz w:val="24"/>
          <w:szCs w:val="24"/>
        </w:rPr>
        <w:t xml:space="preserve"> bez pašvaldības līdzfinansējuma;</w:t>
      </w:r>
    </w:p>
    <w:p w:rsidR="00F053FC" w:rsidRPr="002F1ED1" w:rsidRDefault="00041691" w:rsidP="00F053FC">
      <w:pPr>
        <w:pStyle w:val="ListParagraph"/>
        <w:numPr>
          <w:ilvl w:val="0"/>
          <w:numId w:val="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kuru īpašumā</w:t>
      </w:r>
      <w:r w:rsidR="00F053FC" w:rsidRPr="002F1ED1">
        <w:rPr>
          <w:rFonts w:ascii="Times New Roman" w:hAnsi="Times New Roman" w:cs="Times New Roman"/>
          <w:sz w:val="24"/>
          <w:szCs w:val="24"/>
        </w:rPr>
        <w:t xml:space="preserve"> ir ražošanas ēkas, ja tajās notiek pamatdarbība – 25% atvieglojumi;</w:t>
      </w:r>
    </w:p>
    <w:p w:rsidR="00F053FC" w:rsidRPr="002F1ED1" w:rsidRDefault="00F053FC" w:rsidP="00F053FC">
      <w:pPr>
        <w:pStyle w:val="ListParagraph"/>
        <w:numPr>
          <w:ilvl w:val="0"/>
          <w:numId w:val="5"/>
        </w:numPr>
        <w:spacing w:after="0" w:line="240" w:lineRule="auto"/>
        <w:contextualSpacing w:val="0"/>
        <w:rPr>
          <w:rFonts w:ascii="Times New Roman" w:hAnsi="Times New Roman" w:cs="Times New Roman"/>
          <w:sz w:val="24"/>
          <w:szCs w:val="24"/>
        </w:rPr>
      </w:pPr>
      <w:r w:rsidRPr="002F1ED1">
        <w:rPr>
          <w:rFonts w:ascii="Times New Roman" w:hAnsi="Times New Roman" w:cs="Times New Roman"/>
          <w:sz w:val="24"/>
          <w:szCs w:val="24"/>
        </w:rPr>
        <w:t>kuru īpašumā ir zeme, uz kuras veic lauksaimniecisko ražošanu – 25 % atviegloj</w:t>
      </w:r>
      <w:r w:rsidR="00071C4D">
        <w:rPr>
          <w:rFonts w:ascii="Times New Roman" w:hAnsi="Times New Roman" w:cs="Times New Roman"/>
          <w:sz w:val="24"/>
          <w:szCs w:val="24"/>
        </w:rPr>
        <w:t>umi lauksaimniecībā izmantojamajam</w:t>
      </w:r>
      <w:r w:rsidRPr="002F1ED1">
        <w:rPr>
          <w:rFonts w:ascii="Times New Roman" w:hAnsi="Times New Roman" w:cs="Times New Roman"/>
          <w:sz w:val="24"/>
          <w:szCs w:val="24"/>
        </w:rPr>
        <w:t xml:space="preserve"> zemes hektāram;</w:t>
      </w:r>
    </w:p>
    <w:p w:rsidR="00F053FC" w:rsidRPr="002F1ED1" w:rsidRDefault="00F053FC" w:rsidP="00F053FC">
      <w:pPr>
        <w:pStyle w:val="ListParagraph"/>
        <w:numPr>
          <w:ilvl w:val="0"/>
          <w:numId w:val="5"/>
        </w:numPr>
        <w:spacing w:after="0" w:line="240" w:lineRule="auto"/>
        <w:contextualSpacing w:val="0"/>
        <w:rPr>
          <w:rFonts w:ascii="Times New Roman" w:hAnsi="Times New Roman" w:cs="Times New Roman"/>
          <w:sz w:val="24"/>
          <w:szCs w:val="24"/>
        </w:rPr>
      </w:pPr>
      <w:r w:rsidRPr="002F1ED1">
        <w:rPr>
          <w:rFonts w:ascii="Times New Roman" w:hAnsi="Times New Roman" w:cs="Times New Roman"/>
          <w:sz w:val="24"/>
          <w:szCs w:val="24"/>
        </w:rPr>
        <w:t xml:space="preserve">kuri veic sabiedriskos </w:t>
      </w:r>
      <w:r w:rsidR="00071C4D">
        <w:rPr>
          <w:rFonts w:ascii="Times New Roman" w:hAnsi="Times New Roman" w:cs="Times New Roman"/>
          <w:sz w:val="24"/>
          <w:szCs w:val="24"/>
        </w:rPr>
        <w:t>pasažieru pārvadājumus, samazinājums</w:t>
      </w:r>
      <w:r w:rsidRPr="002F1ED1">
        <w:rPr>
          <w:rFonts w:ascii="Times New Roman" w:hAnsi="Times New Roman" w:cs="Times New Roman"/>
          <w:sz w:val="24"/>
          <w:szCs w:val="24"/>
        </w:rPr>
        <w:t xml:space="preserve"> ar pasažieru pārvadāšanu tieši saistītam īpašumam – 25% atvieglojumi;</w:t>
      </w:r>
    </w:p>
    <w:p w:rsidR="00F053FC" w:rsidRPr="002F1ED1" w:rsidRDefault="00F053FC" w:rsidP="00F053FC">
      <w:pPr>
        <w:pStyle w:val="ListParagraph"/>
        <w:numPr>
          <w:ilvl w:val="0"/>
          <w:numId w:val="5"/>
        </w:numPr>
        <w:spacing w:after="0" w:line="240" w:lineRule="auto"/>
        <w:contextualSpacing w:val="0"/>
        <w:rPr>
          <w:rFonts w:ascii="Times New Roman" w:hAnsi="Times New Roman" w:cs="Times New Roman"/>
          <w:sz w:val="24"/>
          <w:szCs w:val="24"/>
        </w:rPr>
      </w:pPr>
      <w:r w:rsidRPr="002F1ED1">
        <w:rPr>
          <w:rFonts w:ascii="Times New Roman" w:hAnsi="Times New Roman" w:cs="Times New Roman"/>
          <w:sz w:val="24"/>
          <w:szCs w:val="24"/>
        </w:rPr>
        <w:t>kuri central</w:t>
      </w:r>
      <w:r w:rsidR="00071C4D">
        <w:rPr>
          <w:rFonts w:ascii="Times New Roman" w:hAnsi="Times New Roman" w:cs="Times New Roman"/>
          <w:sz w:val="24"/>
          <w:szCs w:val="24"/>
        </w:rPr>
        <w:t>izēti piegādā siltumenerģiju un/</w:t>
      </w:r>
      <w:r w:rsidRPr="002F1ED1">
        <w:rPr>
          <w:rFonts w:ascii="Times New Roman" w:hAnsi="Times New Roman" w:cs="Times New Roman"/>
          <w:sz w:val="24"/>
          <w:szCs w:val="24"/>
        </w:rPr>
        <w:t>vai dzeramā ūdens resursus iedzīvotājiem – 70% atvieglojumi;</w:t>
      </w:r>
    </w:p>
    <w:p w:rsidR="00F053FC" w:rsidRPr="002F1ED1" w:rsidRDefault="00F053FC" w:rsidP="00F053FC">
      <w:pPr>
        <w:pStyle w:val="ListParagraph"/>
        <w:numPr>
          <w:ilvl w:val="0"/>
          <w:numId w:val="5"/>
        </w:numPr>
        <w:spacing w:after="0" w:line="240" w:lineRule="auto"/>
        <w:contextualSpacing w:val="0"/>
        <w:rPr>
          <w:rFonts w:ascii="Times New Roman" w:hAnsi="Times New Roman" w:cs="Times New Roman"/>
          <w:sz w:val="24"/>
          <w:szCs w:val="24"/>
        </w:rPr>
      </w:pPr>
      <w:r w:rsidRPr="002F1ED1">
        <w:rPr>
          <w:rFonts w:ascii="Times New Roman" w:hAnsi="Times New Roman" w:cs="Times New Roman"/>
          <w:sz w:val="24"/>
          <w:szCs w:val="24"/>
        </w:rPr>
        <w:t xml:space="preserve">fiziskām personām, kurām vienģimenes un </w:t>
      </w:r>
      <w:proofErr w:type="spellStart"/>
      <w:r w:rsidRPr="002F1ED1">
        <w:rPr>
          <w:rFonts w:ascii="Times New Roman" w:hAnsi="Times New Roman" w:cs="Times New Roman"/>
          <w:sz w:val="24"/>
          <w:szCs w:val="24"/>
        </w:rPr>
        <w:t>divģimeņu</w:t>
      </w:r>
      <w:proofErr w:type="spellEnd"/>
      <w:r w:rsidRPr="002F1ED1">
        <w:rPr>
          <w:rFonts w:ascii="Times New Roman" w:hAnsi="Times New Roman" w:cs="Times New Roman"/>
          <w:sz w:val="24"/>
          <w:szCs w:val="24"/>
        </w:rPr>
        <w:t xml:space="preserve"> dzīvojamo māju apbūvei paredzētie neapbūvēti</w:t>
      </w:r>
      <w:r w:rsidR="00071C4D">
        <w:rPr>
          <w:rFonts w:ascii="Times New Roman" w:hAnsi="Times New Roman" w:cs="Times New Roman"/>
          <w:sz w:val="24"/>
          <w:szCs w:val="24"/>
        </w:rPr>
        <w:t>e</w:t>
      </w:r>
      <w:r w:rsidRPr="002F1ED1">
        <w:rPr>
          <w:rFonts w:ascii="Times New Roman" w:hAnsi="Times New Roman" w:cs="Times New Roman"/>
          <w:sz w:val="24"/>
          <w:szCs w:val="24"/>
        </w:rPr>
        <w:t xml:space="preserve"> zemesgabali piekļaujas projektētām pašvaldības ielām, kurām nav izbūvēts pagaidu segums – 50% atvieglojumi;</w:t>
      </w:r>
    </w:p>
    <w:p w:rsidR="00F053FC" w:rsidRPr="002F1ED1" w:rsidRDefault="00F053FC" w:rsidP="00F053FC">
      <w:pPr>
        <w:pStyle w:val="ListParagraph"/>
        <w:numPr>
          <w:ilvl w:val="0"/>
          <w:numId w:val="5"/>
        </w:numPr>
        <w:spacing w:after="0" w:line="240" w:lineRule="auto"/>
        <w:contextualSpacing w:val="0"/>
        <w:rPr>
          <w:rFonts w:ascii="Times New Roman" w:hAnsi="Times New Roman" w:cs="Times New Roman"/>
          <w:sz w:val="24"/>
          <w:szCs w:val="24"/>
        </w:rPr>
      </w:pPr>
      <w:r w:rsidRPr="002F1ED1">
        <w:rPr>
          <w:rFonts w:ascii="Times New Roman" w:hAnsi="Times New Roman" w:cs="Times New Roman"/>
          <w:sz w:val="24"/>
          <w:szCs w:val="24"/>
        </w:rPr>
        <w:t>kuri nodrošina viesnīcu, sabiedriskās ēdināšanas pakalpojumu sniegšanu vai lauku tūrisma pakalpojumus – 50% atvieglojumi;</w:t>
      </w:r>
    </w:p>
    <w:p w:rsidR="00F053FC" w:rsidRPr="002F1ED1" w:rsidRDefault="00041691" w:rsidP="00F053FC">
      <w:pPr>
        <w:pStyle w:val="ListParagraph"/>
        <w:numPr>
          <w:ilvl w:val="0"/>
          <w:numId w:val="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par </w:t>
      </w:r>
      <w:r w:rsidR="00F053FC" w:rsidRPr="002F1ED1">
        <w:rPr>
          <w:rFonts w:ascii="Times New Roman" w:hAnsi="Times New Roman" w:cs="Times New Roman"/>
          <w:sz w:val="24"/>
          <w:szCs w:val="24"/>
        </w:rPr>
        <w:t>daudzdzīvokļu dzīvojam</w:t>
      </w:r>
      <w:r w:rsidR="00071C4D">
        <w:rPr>
          <w:rFonts w:ascii="Times New Roman" w:hAnsi="Times New Roman" w:cs="Times New Roman"/>
          <w:sz w:val="24"/>
          <w:szCs w:val="24"/>
        </w:rPr>
        <w:t>aj</w:t>
      </w:r>
      <w:r w:rsidR="00F053FC" w:rsidRPr="002F1ED1">
        <w:rPr>
          <w:rFonts w:ascii="Times New Roman" w:hAnsi="Times New Roman" w:cs="Times New Roman"/>
          <w:sz w:val="24"/>
          <w:szCs w:val="24"/>
        </w:rPr>
        <w:t>ām mājām, kurās veikti ēkas energoefektivitāte</w:t>
      </w:r>
      <w:r w:rsidR="00B8556E">
        <w:rPr>
          <w:rFonts w:ascii="Times New Roman" w:hAnsi="Times New Roman" w:cs="Times New Roman"/>
          <w:sz w:val="24"/>
          <w:szCs w:val="24"/>
        </w:rPr>
        <w:t>s pasākumi, piesaistot Eiropas S</w:t>
      </w:r>
      <w:r w:rsidR="00F053FC" w:rsidRPr="002F1ED1">
        <w:rPr>
          <w:rFonts w:ascii="Times New Roman" w:hAnsi="Times New Roman" w:cs="Times New Roman"/>
          <w:sz w:val="24"/>
          <w:szCs w:val="24"/>
        </w:rPr>
        <w:t>avienības struktūrfondu līdzekļus, pie</w:t>
      </w:r>
      <w:r w:rsidR="00071C4D">
        <w:rPr>
          <w:rFonts w:ascii="Times New Roman" w:hAnsi="Times New Roman" w:cs="Times New Roman"/>
          <w:sz w:val="24"/>
          <w:szCs w:val="24"/>
        </w:rPr>
        <w:t xml:space="preserve">šķir atvieglojumus uz 10 gadiem </w:t>
      </w:r>
      <w:r w:rsidR="00F053FC" w:rsidRPr="002F1ED1">
        <w:rPr>
          <w:rFonts w:ascii="Times New Roman" w:hAnsi="Times New Roman" w:cs="Times New Roman"/>
          <w:sz w:val="24"/>
          <w:szCs w:val="24"/>
        </w:rPr>
        <w:t>– 90% atvieglo</w:t>
      </w:r>
      <w:r w:rsidR="00071C4D">
        <w:rPr>
          <w:rFonts w:ascii="Times New Roman" w:hAnsi="Times New Roman" w:cs="Times New Roman"/>
          <w:sz w:val="24"/>
          <w:szCs w:val="24"/>
        </w:rPr>
        <w:t>jumi</w:t>
      </w:r>
      <w:r w:rsidR="00F053FC" w:rsidRPr="002F1ED1">
        <w:rPr>
          <w:rFonts w:ascii="Times New Roman" w:hAnsi="Times New Roman" w:cs="Times New Roman"/>
          <w:sz w:val="24"/>
          <w:szCs w:val="24"/>
        </w:rPr>
        <w:t>.</w:t>
      </w:r>
    </w:p>
    <w:p w:rsidR="002823A3" w:rsidRDefault="002823A3" w:rsidP="004A6D8D">
      <w:pPr>
        <w:spacing w:after="0"/>
        <w:jc w:val="both"/>
        <w:rPr>
          <w:rFonts w:ascii="Times New Roman" w:hAnsi="Times New Roman" w:cs="Times New Roman"/>
          <w:sz w:val="24"/>
          <w:szCs w:val="24"/>
        </w:rPr>
      </w:pPr>
    </w:p>
    <w:p w:rsidR="00D215A0" w:rsidRDefault="004353AC" w:rsidP="00072DC8">
      <w:pPr>
        <w:spacing w:after="0"/>
        <w:jc w:val="both"/>
        <w:rPr>
          <w:rFonts w:ascii="Times New Roman" w:hAnsi="Times New Roman" w:cs="Times New Roman"/>
          <w:sz w:val="24"/>
          <w:szCs w:val="24"/>
        </w:rPr>
      </w:pPr>
      <w:r w:rsidRPr="009B21DE">
        <w:rPr>
          <w:rFonts w:ascii="Times New Roman" w:hAnsi="Times New Roman" w:cs="Times New Roman"/>
          <w:sz w:val="24"/>
          <w:szCs w:val="24"/>
        </w:rPr>
        <w:t xml:space="preserve">Azartspēļu nodoklis plānots </w:t>
      </w:r>
      <w:r w:rsidR="00353F10">
        <w:rPr>
          <w:rFonts w:ascii="Times New Roman" w:hAnsi="Times New Roman" w:cs="Times New Roman"/>
          <w:sz w:val="24"/>
          <w:szCs w:val="24"/>
        </w:rPr>
        <w:t>11</w:t>
      </w:r>
      <w:r w:rsidR="001F059A">
        <w:rPr>
          <w:rFonts w:ascii="Times New Roman" w:hAnsi="Times New Roman" w:cs="Times New Roman"/>
          <w:sz w:val="24"/>
          <w:szCs w:val="24"/>
        </w:rPr>
        <w:t xml:space="preserve">0 </w:t>
      </w:r>
      <w:r w:rsidR="00CF54E8">
        <w:rPr>
          <w:rFonts w:ascii="Times New Roman" w:hAnsi="Times New Roman" w:cs="Times New Roman"/>
          <w:sz w:val="24"/>
          <w:szCs w:val="24"/>
        </w:rPr>
        <w:t>000</w:t>
      </w:r>
      <w:r w:rsidR="00F665A0" w:rsidRPr="009B21DE">
        <w:rPr>
          <w:rFonts w:ascii="Times New Roman" w:hAnsi="Times New Roman" w:cs="Times New Roman"/>
          <w:sz w:val="24"/>
          <w:szCs w:val="24"/>
        </w:rPr>
        <w:t xml:space="preserve"> </w:t>
      </w:r>
      <w:r w:rsidR="00B8556E">
        <w:rPr>
          <w:rFonts w:ascii="Times New Roman" w:hAnsi="Times New Roman" w:cs="Times New Roman"/>
          <w:sz w:val="24"/>
          <w:szCs w:val="24"/>
        </w:rPr>
        <w:t>EUR</w:t>
      </w:r>
      <w:r w:rsidR="00353F10">
        <w:rPr>
          <w:rFonts w:ascii="Times New Roman" w:hAnsi="Times New Roman" w:cs="Times New Roman"/>
          <w:sz w:val="24"/>
          <w:szCs w:val="24"/>
        </w:rPr>
        <w:t xml:space="preserve"> apmērā, pieaugums pret 2016.gada sākotnējo plānu 10 </w:t>
      </w:r>
      <w:r w:rsidR="001F059A">
        <w:rPr>
          <w:rFonts w:ascii="Times New Roman" w:hAnsi="Times New Roman" w:cs="Times New Roman"/>
          <w:sz w:val="24"/>
          <w:szCs w:val="24"/>
        </w:rPr>
        <w:t>000</w:t>
      </w:r>
      <w:r w:rsidR="00F665A0" w:rsidRPr="009B21DE">
        <w:rPr>
          <w:rFonts w:ascii="Times New Roman" w:hAnsi="Times New Roman" w:cs="Times New Roman"/>
          <w:sz w:val="24"/>
          <w:szCs w:val="24"/>
        </w:rPr>
        <w:t xml:space="preserve"> </w:t>
      </w:r>
      <w:r w:rsidR="00B8556E">
        <w:rPr>
          <w:rFonts w:ascii="Times New Roman" w:hAnsi="Times New Roman" w:cs="Times New Roman"/>
          <w:sz w:val="24"/>
          <w:szCs w:val="24"/>
        </w:rPr>
        <w:t>EUR</w:t>
      </w:r>
      <w:r w:rsidR="00CF7D96" w:rsidRPr="009B21DE">
        <w:rPr>
          <w:rFonts w:ascii="Times New Roman" w:hAnsi="Times New Roman" w:cs="Times New Roman"/>
          <w:sz w:val="24"/>
          <w:szCs w:val="24"/>
        </w:rPr>
        <w:t>.</w:t>
      </w:r>
      <w:r w:rsidR="00B43334">
        <w:rPr>
          <w:rFonts w:ascii="Times New Roman" w:hAnsi="Times New Roman" w:cs="Times New Roman"/>
          <w:sz w:val="24"/>
          <w:szCs w:val="24"/>
        </w:rPr>
        <w:t xml:space="preserve"> </w:t>
      </w:r>
    </w:p>
    <w:p w:rsidR="00072DC8" w:rsidRDefault="00072DC8" w:rsidP="00072DC8">
      <w:pPr>
        <w:spacing w:after="0"/>
        <w:jc w:val="both"/>
        <w:rPr>
          <w:rFonts w:ascii="Times New Roman" w:hAnsi="Times New Roman" w:cs="Times New Roman"/>
          <w:sz w:val="24"/>
          <w:szCs w:val="24"/>
        </w:rPr>
      </w:pPr>
    </w:p>
    <w:p w:rsidR="00CF7D96" w:rsidRPr="009B21DE" w:rsidRDefault="000A68AF" w:rsidP="00480C77">
      <w:pPr>
        <w:ind w:right="57"/>
        <w:jc w:val="both"/>
        <w:rPr>
          <w:rFonts w:ascii="Times New Roman" w:hAnsi="Times New Roman" w:cs="Times New Roman"/>
          <w:sz w:val="24"/>
          <w:szCs w:val="24"/>
        </w:rPr>
      </w:pPr>
      <w:r w:rsidRPr="005A3E04">
        <w:rPr>
          <w:rFonts w:ascii="Times New Roman" w:hAnsi="Times New Roman" w:cs="Times New Roman"/>
          <w:b/>
          <w:sz w:val="24"/>
          <w:szCs w:val="24"/>
        </w:rPr>
        <w:t>Nenodokļu ieņēmumus</w:t>
      </w:r>
      <w:r>
        <w:rPr>
          <w:rFonts w:ascii="Times New Roman" w:hAnsi="Times New Roman" w:cs="Times New Roman"/>
          <w:sz w:val="24"/>
          <w:szCs w:val="24"/>
        </w:rPr>
        <w:t xml:space="preserve"> 2017</w:t>
      </w:r>
      <w:r w:rsidR="00062B23" w:rsidRPr="009B21DE">
        <w:rPr>
          <w:rFonts w:ascii="Times New Roman" w:hAnsi="Times New Roman" w:cs="Times New Roman"/>
          <w:sz w:val="24"/>
          <w:szCs w:val="24"/>
        </w:rPr>
        <w:t xml:space="preserve">.gadā plānots iekasēt </w:t>
      </w:r>
      <w:r>
        <w:rPr>
          <w:rFonts w:ascii="Times New Roman" w:hAnsi="Times New Roman" w:cs="Times New Roman"/>
          <w:sz w:val="24"/>
          <w:szCs w:val="24"/>
        </w:rPr>
        <w:t>412 747</w:t>
      </w:r>
      <w:r w:rsidR="00B71996" w:rsidRPr="009B21DE">
        <w:rPr>
          <w:rFonts w:ascii="Times New Roman" w:hAnsi="Times New Roman" w:cs="Times New Roman"/>
          <w:sz w:val="24"/>
          <w:szCs w:val="24"/>
        </w:rPr>
        <w:t xml:space="preserve"> </w:t>
      </w:r>
      <w:r w:rsidR="00B8556E">
        <w:rPr>
          <w:rFonts w:ascii="Times New Roman" w:hAnsi="Times New Roman" w:cs="Times New Roman"/>
          <w:sz w:val="24"/>
          <w:szCs w:val="24"/>
        </w:rPr>
        <w:t>EUR</w:t>
      </w:r>
      <w:r w:rsidR="00CF7D96" w:rsidRPr="009B21DE">
        <w:rPr>
          <w:rFonts w:ascii="Times New Roman" w:hAnsi="Times New Roman" w:cs="Times New Roman"/>
          <w:sz w:val="24"/>
          <w:szCs w:val="24"/>
        </w:rPr>
        <w:t xml:space="preserve"> apmērā. Šos ieņēmumus veido </w:t>
      </w:r>
      <w:r w:rsidR="00C31A0D">
        <w:rPr>
          <w:rFonts w:ascii="Times New Roman" w:hAnsi="Times New Roman" w:cs="Times New Roman"/>
          <w:sz w:val="24"/>
          <w:szCs w:val="24"/>
        </w:rPr>
        <w:t>peļņas daļa no pašvald</w:t>
      </w:r>
      <w:r w:rsidR="00B8556E">
        <w:rPr>
          <w:rFonts w:ascii="Times New Roman" w:hAnsi="Times New Roman" w:cs="Times New Roman"/>
          <w:sz w:val="24"/>
          <w:szCs w:val="24"/>
        </w:rPr>
        <w:t>ībā esošo dzīvokļu izīrēšanas (</w:t>
      </w:r>
      <w:r w:rsidR="00C31A0D">
        <w:rPr>
          <w:rFonts w:ascii="Times New Roman" w:hAnsi="Times New Roman" w:cs="Times New Roman"/>
          <w:sz w:val="24"/>
          <w:szCs w:val="24"/>
        </w:rPr>
        <w:t>no 2016. gada)</w:t>
      </w:r>
      <w:r w:rsidR="00CF7D96" w:rsidRPr="009B21DE">
        <w:rPr>
          <w:rFonts w:ascii="Times New Roman" w:hAnsi="Times New Roman" w:cs="Times New Roman"/>
          <w:sz w:val="24"/>
          <w:szCs w:val="24"/>
        </w:rPr>
        <w:t>, valsts un pašvaldību nodeva</w:t>
      </w:r>
      <w:r w:rsidR="004762E5" w:rsidRPr="009B21DE">
        <w:rPr>
          <w:rFonts w:ascii="Times New Roman" w:hAnsi="Times New Roman" w:cs="Times New Roman"/>
          <w:sz w:val="24"/>
          <w:szCs w:val="24"/>
        </w:rPr>
        <w:t xml:space="preserve">s, naudas sodu un sankcijas, kā </w:t>
      </w:r>
      <w:r w:rsidR="00CF7D96" w:rsidRPr="009B21DE">
        <w:rPr>
          <w:rFonts w:ascii="Times New Roman" w:hAnsi="Times New Roman" w:cs="Times New Roman"/>
          <w:sz w:val="24"/>
          <w:szCs w:val="24"/>
        </w:rPr>
        <w:t>arī ieņēmumi no</w:t>
      </w:r>
      <w:r w:rsidR="00C31A0D">
        <w:rPr>
          <w:rFonts w:ascii="Times New Roman" w:hAnsi="Times New Roman" w:cs="Times New Roman"/>
          <w:sz w:val="24"/>
          <w:szCs w:val="24"/>
        </w:rPr>
        <w:t xml:space="preserve"> pašvaldības</w:t>
      </w:r>
      <w:r w:rsidR="00CF7D96" w:rsidRPr="009B21DE">
        <w:rPr>
          <w:rFonts w:ascii="Times New Roman" w:hAnsi="Times New Roman" w:cs="Times New Roman"/>
          <w:sz w:val="24"/>
          <w:szCs w:val="24"/>
        </w:rPr>
        <w:t xml:space="preserve"> īpašumu p</w:t>
      </w:r>
      <w:r>
        <w:rPr>
          <w:rFonts w:ascii="Times New Roman" w:hAnsi="Times New Roman" w:cs="Times New Roman"/>
          <w:sz w:val="24"/>
          <w:szCs w:val="24"/>
        </w:rPr>
        <w:t>ārdošanas. Salīdzinājumā ar 2016</w:t>
      </w:r>
      <w:r w:rsidR="00CF7D96" w:rsidRPr="009B21DE">
        <w:rPr>
          <w:rFonts w:ascii="Times New Roman" w:hAnsi="Times New Roman" w:cs="Times New Roman"/>
          <w:sz w:val="24"/>
          <w:szCs w:val="24"/>
        </w:rPr>
        <w:t>.gadu še</w:t>
      </w:r>
      <w:r w:rsidR="00C6447C" w:rsidRPr="009B21DE">
        <w:rPr>
          <w:rFonts w:ascii="Times New Roman" w:hAnsi="Times New Roman" w:cs="Times New Roman"/>
          <w:sz w:val="24"/>
          <w:szCs w:val="24"/>
        </w:rPr>
        <w:t>it ir plānots ieņēmum</w:t>
      </w:r>
      <w:r>
        <w:rPr>
          <w:rFonts w:ascii="Times New Roman" w:hAnsi="Times New Roman" w:cs="Times New Roman"/>
          <w:sz w:val="24"/>
          <w:szCs w:val="24"/>
        </w:rPr>
        <w:t>u samazinājums</w:t>
      </w:r>
      <w:r w:rsidR="00C6447C" w:rsidRPr="009B21DE">
        <w:rPr>
          <w:rFonts w:ascii="Times New Roman" w:hAnsi="Times New Roman" w:cs="Times New Roman"/>
          <w:sz w:val="24"/>
          <w:szCs w:val="24"/>
        </w:rPr>
        <w:t xml:space="preserve"> </w:t>
      </w:r>
      <w:r w:rsidR="008F4549">
        <w:rPr>
          <w:rFonts w:ascii="Times New Roman" w:hAnsi="Times New Roman" w:cs="Times New Roman"/>
          <w:sz w:val="24"/>
          <w:szCs w:val="24"/>
        </w:rPr>
        <w:t xml:space="preserve">par </w:t>
      </w:r>
      <w:r>
        <w:rPr>
          <w:rFonts w:ascii="Times New Roman" w:hAnsi="Times New Roman" w:cs="Times New Roman"/>
          <w:sz w:val="24"/>
          <w:szCs w:val="24"/>
        </w:rPr>
        <w:t>90 915</w:t>
      </w:r>
      <w:r w:rsidR="00C6447C" w:rsidRPr="009B21DE">
        <w:rPr>
          <w:rFonts w:ascii="Times New Roman" w:hAnsi="Times New Roman" w:cs="Times New Roman"/>
          <w:sz w:val="24"/>
          <w:szCs w:val="24"/>
        </w:rPr>
        <w:t xml:space="preserve"> </w:t>
      </w:r>
      <w:r w:rsidR="00B8556E">
        <w:rPr>
          <w:rFonts w:ascii="Times New Roman" w:hAnsi="Times New Roman" w:cs="Times New Roman"/>
          <w:sz w:val="24"/>
          <w:szCs w:val="24"/>
        </w:rPr>
        <w:t>EUR</w:t>
      </w:r>
      <w:r w:rsidR="00C6447C" w:rsidRPr="009B21DE">
        <w:rPr>
          <w:rFonts w:ascii="Times New Roman" w:hAnsi="Times New Roman" w:cs="Times New Roman"/>
          <w:sz w:val="24"/>
          <w:szCs w:val="24"/>
        </w:rPr>
        <w:t>, jo t</w:t>
      </w:r>
      <w:r w:rsidR="009A5D6E" w:rsidRPr="009B21DE">
        <w:rPr>
          <w:rFonts w:ascii="Times New Roman" w:hAnsi="Times New Roman" w:cs="Times New Roman"/>
          <w:sz w:val="24"/>
          <w:szCs w:val="24"/>
        </w:rPr>
        <w:t xml:space="preserve">iek </w:t>
      </w:r>
      <w:r w:rsidR="00CE0D35" w:rsidRPr="009B21DE">
        <w:rPr>
          <w:rFonts w:ascii="Times New Roman" w:hAnsi="Times New Roman" w:cs="Times New Roman"/>
          <w:sz w:val="24"/>
          <w:szCs w:val="24"/>
        </w:rPr>
        <w:t xml:space="preserve">plānots </w:t>
      </w:r>
      <w:r>
        <w:rPr>
          <w:rFonts w:ascii="Times New Roman" w:hAnsi="Times New Roman" w:cs="Times New Roman"/>
          <w:sz w:val="24"/>
          <w:szCs w:val="24"/>
        </w:rPr>
        <w:t xml:space="preserve">mazāk </w:t>
      </w:r>
      <w:r w:rsidR="008F4549">
        <w:rPr>
          <w:rFonts w:ascii="Times New Roman" w:hAnsi="Times New Roman" w:cs="Times New Roman"/>
          <w:sz w:val="24"/>
          <w:szCs w:val="24"/>
        </w:rPr>
        <w:t>atsavinā</w:t>
      </w:r>
      <w:r w:rsidR="009A5D6E" w:rsidRPr="009B21DE">
        <w:rPr>
          <w:rFonts w:ascii="Times New Roman" w:hAnsi="Times New Roman" w:cs="Times New Roman"/>
          <w:sz w:val="24"/>
          <w:szCs w:val="24"/>
        </w:rPr>
        <w:t>t pašvaldības</w:t>
      </w:r>
      <w:r w:rsidR="00C31A0D">
        <w:rPr>
          <w:rFonts w:ascii="Times New Roman" w:hAnsi="Times New Roman" w:cs="Times New Roman"/>
          <w:sz w:val="24"/>
          <w:szCs w:val="24"/>
        </w:rPr>
        <w:t xml:space="preserve"> īpašumus (nedzīvojamās ēk</w:t>
      </w:r>
      <w:r w:rsidR="00041691">
        <w:rPr>
          <w:rFonts w:ascii="Times New Roman" w:hAnsi="Times New Roman" w:cs="Times New Roman"/>
          <w:sz w:val="24"/>
          <w:szCs w:val="24"/>
        </w:rPr>
        <w:t>as, lauksaimniecības zemi), kas</w:t>
      </w:r>
      <w:r w:rsidR="00C31A0D">
        <w:rPr>
          <w:rFonts w:ascii="Times New Roman" w:hAnsi="Times New Roman" w:cs="Times New Roman"/>
          <w:sz w:val="24"/>
          <w:szCs w:val="24"/>
        </w:rPr>
        <w:t xml:space="preserve"> nav nepieciešami pašvaldības funkciju veikšanai</w:t>
      </w:r>
      <w:r w:rsidR="009A5D6E" w:rsidRPr="009B21DE">
        <w:rPr>
          <w:rFonts w:ascii="Times New Roman" w:hAnsi="Times New Roman" w:cs="Times New Roman"/>
          <w:sz w:val="24"/>
          <w:szCs w:val="24"/>
        </w:rPr>
        <w:t>.</w:t>
      </w:r>
    </w:p>
    <w:p w:rsidR="00CF7D96" w:rsidRPr="009B21DE" w:rsidRDefault="00CF7D96" w:rsidP="00CF7D96">
      <w:pPr>
        <w:ind w:firstLine="720"/>
        <w:jc w:val="both"/>
        <w:rPr>
          <w:rFonts w:ascii="Times New Roman" w:hAnsi="Times New Roman" w:cs="Times New Roman"/>
          <w:sz w:val="24"/>
          <w:szCs w:val="24"/>
        </w:rPr>
      </w:pPr>
      <w:r w:rsidRPr="005A3E04">
        <w:rPr>
          <w:rFonts w:ascii="Times New Roman" w:hAnsi="Times New Roman" w:cs="Times New Roman"/>
          <w:b/>
          <w:sz w:val="24"/>
          <w:szCs w:val="24"/>
        </w:rPr>
        <w:t>Ieņēmumi no maksas pakalpojumiem</w:t>
      </w:r>
      <w:r w:rsidRPr="009B21DE">
        <w:rPr>
          <w:rFonts w:ascii="Times New Roman" w:hAnsi="Times New Roman" w:cs="Times New Roman"/>
          <w:sz w:val="24"/>
          <w:szCs w:val="24"/>
        </w:rPr>
        <w:t xml:space="preserve"> un citi pa</w:t>
      </w:r>
      <w:r w:rsidR="0042520B" w:rsidRPr="009B21DE">
        <w:rPr>
          <w:rFonts w:ascii="Times New Roman" w:hAnsi="Times New Roman" w:cs="Times New Roman"/>
          <w:sz w:val="24"/>
          <w:szCs w:val="24"/>
        </w:rPr>
        <w:t xml:space="preserve">šu ieņēmumi plānoti </w:t>
      </w:r>
      <w:r w:rsidR="004C5CC8">
        <w:rPr>
          <w:rFonts w:ascii="Times New Roman" w:hAnsi="Times New Roman" w:cs="Times New Roman"/>
          <w:sz w:val="24"/>
          <w:szCs w:val="24"/>
        </w:rPr>
        <w:t>883 890</w:t>
      </w:r>
      <w:r w:rsidR="00D34103" w:rsidRPr="009B21DE">
        <w:rPr>
          <w:rFonts w:ascii="Times New Roman" w:hAnsi="Times New Roman" w:cs="Times New Roman"/>
          <w:sz w:val="24"/>
          <w:szCs w:val="24"/>
        </w:rPr>
        <w:t xml:space="preserve"> </w:t>
      </w:r>
      <w:r w:rsidR="00B8556E">
        <w:rPr>
          <w:rFonts w:ascii="Times New Roman" w:hAnsi="Times New Roman" w:cs="Times New Roman"/>
          <w:sz w:val="24"/>
          <w:szCs w:val="24"/>
        </w:rPr>
        <w:t>EUR</w:t>
      </w:r>
      <w:r w:rsidR="00F81D43">
        <w:rPr>
          <w:rFonts w:ascii="Times New Roman" w:hAnsi="Times New Roman" w:cs="Times New Roman"/>
          <w:sz w:val="24"/>
          <w:szCs w:val="24"/>
        </w:rPr>
        <w:t>.</w:t>
      </w:r>
      <w:r w:rsidR="00723D9B" w:rsidRPr="009B21DE">
        <w:rPr>
          <w:rFonts w:ascii="Times New Roman" w:hAnsi="Times New Roman" w:cs="Times New Roman"/>
          <w:sz w:val="24"/>
          <w:szCs w:val="24"/>
        </w:rPr>
        <w:t xml:space="preserve"> </w:t>
      </w:r>
      <w:r w:rsidR="004C5CC8">
        <w:rPr>
          <w:rFonts w:ascii="Times New Roman" w:hAnsi="Times New Roman" w:cs="Times New Roman"/>
          <w:sz w:val="24"/>
          <w:szCs w:val="24"/>
        </w:rPr>
        <w:t>Salīdzinājumā ar 2016</w:t>
      </w:r>
      <w:r w:rsidR="0042520B" w:rsidRPr="009B21DE">
        <w:rPr>
          <w:rFonts w:ascii="Times New Roman" w:hAnsi="Times New Roman" w:cs="Times New Roman"/>
          <w:sz w:val="24"/>
          <w:szCs w:val="24"/>
        </w:rPr>
        <w:t xml:space="preserve">. </w:t>
      </w:r>
      <w:r w:rsidR="00B8556E">
        <w:rPr>
          <w:rFonts w:ascii="Times New Roman" w:hAnsi="Times New Roman" w:cs="Times New Roman"/>
          <w:sz w:val="24"/>
          <w:szCs w:val="24"/>
        </w:rPr>
        <w:t>g</w:t>
      </w:r>
      <w:r w:rsidR="0042520B" w:rsidRPr="009B21DE">
        <w:rPr>
          <w:rFonts w:ascii="Times New Roman" w:hAnsi="Times New Roman" w:cs="Times New Roman"/>
          <w:sz w:val="24"/>
          <w:szCs w:val="24"/>
        </w:rPr>
        <w:t>adu</w:t>
      </w:r>
      <w:r w:rsidR="00B8556E">
        <w:rPr>
          <w:rFonts w:ascii="Times New Roman" w:hAnsi="Times New Roman" w:cs="Times New Roman"/>
          <w:sz w:val="24"/>
          <w:szCs w:val="24"/>
        </w:rPr>
        <w:t>,</w:t>
      </w:r>
      <w:r w:rsidR="0042520B" w:rsidRPr="009B21DE">
        <w:rPr>
          <w:rFonts w:ascii="Times New Roman" w:hAnsi="Times New Roman" w:cs="Times New Roman"/>
          <w:sz w:val="24"/>
          <w:szCs w:val="24"/>
        </w:rPr>
        <w:t xml:space="preserve"> maksas pakalpojumi un citi pašu i</w:t>
      </w:r>
      <w:r w:rsidR="00E139BC">
        <w:rPr>
          <w:rFonts w:ascii="Times New Roman" w:hAnsi="Times New Roman" w:cs="Times New Roman"/>
          <w:sz w:val="24"/>
          <w:szCs w:val="24"/>
        </w:rPr>
        <w:t>eņēmumi ir</w:t>
      </w:r>
      <w:r w:rsidR="004C5CC8">
        <w:rPr>
          <w:rFonts w:ascii="Times New Roman" w:hAnsi="Times New Roman" w:cs="Times New Roman"/>
          <w:sz w:val="24"/>
          <w:szCs w:val="24"/>
        </w:rPr>
        <w:t xml:space="preserve"> samazinājušies</w:t>
      </w:r>
      <w:r w:rsidR="00727AE5">
        <w:rPr>
          <w:rFonts w:ascii="Times New Roman" w:hAnsi="Times New Roman" w:cs="Times New Roman"/>
          <w:sz w:val="24"/>
          <w:szCs w:val="24"/>
        </w:rPr>
        <w:t xml:space="preserve"> par </w:t>
      </w:r>
      <w:r w:rsidR="004C5CC8">
        <w:rPr>
          <w:rFonts w:ascii="Times New Roman" w:hAnsi="Times New Roman" w:cs="Times New Roman"/>
          <w:sz w:val="24"/>
          <w:szCs w:val="24"/>
        </w:rPr>
        <w:t xml:space="preserve">76 164 </w:t>
      </w:r>
      <w:r w:rsidR="00B8556E">
        <w:rPr>
          <w:rFonts w:ascii="Times New Roman" w:hAnsi="Times New Roman" w:cs="Times New Roman"/>
          <w:sz w:val="24"/>
          <w:szCs w:val="24"/>
        </w:rPr>
        <w:t>EUR</w:t>
      </w:r>
      <w:r w:rsidR="004C5CC8">
        <w:rPr>
          <w:rFonts w:ascii="Times New Roman" w:hAnsi="Times New Roman" w:cs="Times New Roman"/>
          <w:sz w:val="24"/>
          <w:szCs w:val="24"/>
        </w:rPr>
        <w:t>, jo nav plānoti maksas pakalpoj</w:t>
      </w:r>
      <w:r w:rsidR="00B37C06">
        <w:rPr>
          <w:rFonts w:ascii="Times New Roman" w:hAnsi="Times New Roman" w:cs="Times New Roman"/>
          <w:sz w:val="24"/>
          <w:szCs w:val="24"/>
        </w:rPr>
        <w:t>umi par ēdināšanu iestādēs, ka</w:t>
      </w:r>
      <w:r w:rsidR="004C5CC8">
        <w:rPr>
          <w:rFonts w:ascii="Times New Roman" w:hAnsi="Times New Roman" w:cs="Times New Roman"/>
          <w:sz w:val="24"/>
          <w:szCs w:val="24"/>
        </w:rPr>
        <w:t>s nodotas komercsabiedrības ēdināšanai.</w:t>
      </w:r>
    </w:p>
    <w:p w:rsidR="00CE77B5" w:rsidRDefault="00A76E93" w:rsidP="00100AA9">
      <w:pPr>
        <w:spacing w:after="0"/>
        <w:jc w:val="both"/>
        <w:rPr>
          <w:rFonts w:ascii="Times New Roman" w:hAnsi="Times New Roman" w:cs="Times New Roman"/>
          <w:sz w:val="24"/>
          <w:szCs w:val="24"/>
        </w:rPr>
      </w:pPr>
      <w:r w:rsidRPr="009B21DE">
        <w:rPr>
          <w:rFonts w:ascii="Times New Roman" w:hAnsi="Times New Roman" w:cs="Times New Roman"/>
          <w:sz w:val="24"/>
          <w:szCs w:val="24"/>
        </w:rPr>
        <w:tab/>
      </w:r>
      <w:r w:rsidR="00A932AA" w:rsidRPr="005A3E04">
        <w:rPr>
          <w:rFonts w:ascii="Times New Roman" w:hAnsi="Times New Roman" w:cs="Times New Roman"/>
          <w:b/>
          <w:sz w:val="24"/>
          <w:szCs w:val="24"/>
        </w:rPr>
        <w:t>Valsts budžeta transferti</w:t>
      </w:r>
      <w:r w:rsidR="00A932AA" w:rsidRPr="009B21DE">
        <w:rPr>
          <w:rFonts w:ascii="Times New Roman" w:hAnsi="Times New Roman" w:cs="Times New Roman"/>
          <w:sz w:val="24"/>
          <w:szCs w:val="24"/>
        </w:rPr>
        <w:t xml:space="preserve"> –</w:t>
      </w:r>
      <w:r w:rsidR="0036584D" w:rsidRPr="009B21DE">
        <w:rPr>
          <w:rFonts w:ascii="Times New Roman" w:hAnsi="Times New Roman" w:cs="Times New Roman"/>
          <w:sz w:val="24"/>
          <w:szCs w:val="24"/>
        </w:rPr>
        <w:t xml:space="preserve"> mērķdotācijas un dotācijas </w:t>
      </w:r>
      <w:r w:rsidR="00727AE5">
        <w:rPr>
          <w:rFonts w:ascii="Times New Roman" w:hAnsi="Times New Roman" w:cs="Times New Roman"/>
          <w:sz w:val="24"/>
          <w:szCs w:val="24"/>
        </w:rPr>
        <w:t>2017</w:t>
      </w:r>
      <w:r w:rsidR="007D1279" w:rsidRPr="009B21DE">
        <w:rPr>
          <w:rFonts w:ascii="Times New Roman" w:hAnsi="Times New Roman" w:cs="Times New Roman"/>
          <w:sz w:val="24"/>
          <w:szCs w:val="24"/>
        </w:rPr>
        <w:t xml:space="preserve">. gadā plānotas </w:t>
      </w:r>
      <w:r w:rsidR="00727AE5">
        <w:rPr>
          <w:rFonts w:ascii="Times New Roman" w:hAnsi="Times New Roman" w:cs="Times New Roman"/>
          <w:sz w:val="24"/>
          <w:szCs w:val="24"/>
        </w:rPr>
        <w:t>12 877</w:t>
      </w:r>
      <w:r w:rsidR="00B8556E">
        <w:rPr>
          <w:rFonts w:ascii="Times New Roman" w:hAnsi="Times New Roman" w:cs="Times New Roman"/>
          <w:sz w:val="24"/>
          <w:szCs w:val="24"/>
        </w:rPr>
        <w:t> </w:t>
      </w:r>
      <w:r w:rsidR="00727AE5">
        <w:rPr>
          <w:rFonts w:ascii="Times New Roman" w:hAnsi="Times New Roman" w:cs="Times New Roman"/>
          <w:sz w:val="24"/>
          <w:szCs w:val="24"/>
        </w:rPr>
        <w:t>528</w:t>
      </w:r>
      <w:r w:rsidR="00B8556E">
        <w:rPr>
          <w:rFonts w:ascii="Times New Roman" w:hAnsi="Times New Roman" w:cs="Times New Roman"/>
          <w:sz w:val="24"/>
          <w:szCs w:val="24"/>
        </w:rPr>
        <w:t xml:space="preserve"> EUR</w:t>
      </w:r>
      <w:r w:rsidR="009577AC">
        <w:rPr>
          <w:rFonts w:ascii="Times New Roman" w:hAnsi="Times New Roman" w:cs="Times New Roman"/>
          <w:sz w:val="24"/>
          <w:szCs w:val="24"/>
        </w:rPr>
        <w:t xml:space="preserve"> (39</w:t>
      </w:r>
      <w:r w:rsidR="00727AE5">
        <w:rPr>
          <w:rFonts w:ascii="Times New Roman" w:hAnsi="Times New Roman" w:cs="Times New Roman"/>
          <w:sz w:val="24"/>
          <w:szCs w:val="24"/>
        </w:rPr>
        <w:t>,9</w:t>
      </w:r>
      <w:r w:rsidR="00A932AA" w:rsidRPr="009B21DE">
        <w:rPr>
          <w:rFonts w:ascii="Times New Roman" w:hAnsi="Times New Roman" w:cs="Times New Roman"/>
          <w:sz w:val="24"/>
          <w:szCs w:val="24"/>
        </w:rPr>
        <w:t>% no ieņēmu</w:t>
      </w:r>
      <w:r w:rsidR="00E51A95">
        <w:rPr>
          <w:rFonts w:ascii="Times New Roman" w:hAnsi="Times New Roman" w:cs="Times New Roman"/>
          <w:sz w:val="24"/>
          <w:szCs w:val="24"/>
        </w:rPr>
        <w:t>m</w:t>
      </w:r>
      <w:r w:rsidR="00727AE5">
        <w:rPr>
          <w:rFonts w:ascii="Times New Roman" w:hAnsi="Times New Roman" w:cs="Times New Roman"/>
          <w:sz w:val="24"/>
          <w:szCs w:val="24"/>
        </w:rPr>
        <w:t xml:space="preserve">iem). Transferti </w:t>
      </w:r>
      <w:r w:rsidR="00B8556E">
        <w:rPr>
          <w:rFonts w:ascii="Times New Roman" w:hAnsi="Times New Roman" w:cs="Times New Roman"/>
          <w:sz w:val="24"/>
          <w:szCs w:val="24"/>
        </w:rPr>
        <w:t>plānoti par 7,</w:t>
      </w:r>
      <w:r w:rsidR="00727AE5">
        <w:rPr>
          <w:rFonts w:ascii="Times New Roman" w:hAnsi="Times New Roman" w:cs="Times New Roman"/>
          <w:sz w:val="24"/>
          <w:szCs w:val="24"/>
        </w:rPr>
        <w:t>3</w:t>
      </w:r>
      <w:r w:rsidR="0036584D" w:rsidRPr="009B21DE">
        <w:rPr>
          <w:rFonts w:ascii="Times New Roman" w:hAnsi="Times New Roman" w:cs="Times New Roman"/>
          <w:sz w:val="24"/>
          <w:szCs w:val="24"/>
        </w:rPr>
        <w:t>%</w:t>
      </w:r>
      <w:r w:rsidR="00A932AA" w:rsidRPr="009B21DE">
        <w:rPr>
          <w:rFonts w:ascii="Times New Roman" w:hAnsi="Times New Roman" w:cs="Times New Roman"/>
          <w:sz w:val="24"/>
          <w:szCs w:val="24"/>
        </w:rPr>
        <w:t xml:space="preserve"> vairāk (</w:t>
      </w:r>
      <w:r w:rsidR="00727AE5">
        <w:rPr>
          <w:rFonts w:ascii="Times New Roman" w:hAnsi="Times New Roman" w:cs="Times New Roman"/>
          <w:sz w:val="24"/>
          <w:szCs w:val="24"/>
        </w:rPr>
        <w:t>883 029</w:t>
      </w:r>
      <w:r w:rsidR="00291B1F" w:rsidRPr="009B21DE">
        <w:rPr>
          <w:rFonts w:ascii="Times New Roman" w:hAnsi="Times New Roman" w:cs="Times New Roman"/>
          <w:sz w:val="24"/>
          <w:szCs w:val="24"/>
        </w:rPr>
        <w:t xml:space="preserve"> </w:t>
      </w:r>
      <w:r w:rsidR="00B8556E">
        <w:rPr>
          <w:rFonts w:ascii="Times New Roman" w:hAnsi="Times New Roman" w:cs="Times New Roman"/>
          <w:sz w:val="24"/>
          <w:szCs w:val="24"/>
        </w:rPr>
        <w:t>EUR</w:t>
      </w:r>
      <w:r w:rsidR="0036584D" w:rsidRPr="009B21DE">
        <w:rPr>
          <w:rFonts w:ascii="Times New Roman" w:hAnsi="Times New Roman" w:cs="Times New Roman"/>
          <w:sz w:val="24"/>
          <w:szCs w:val="24"/>
        </w:rPr>
        <w:t xml:space="preserve">). </w:t>
      </w:r>
      <w:r w:rsidR="00D332BE" w:rsidRPr="009B21DE">
        <w:rPr>
          <w:rFonts w:ascii="Times New Roman" w:hAnsi="Times New Roman" w:cs="Times New Roman"/>
          <w:sz w:val="24"/>
          <w:szCs w:val="24"/>
        </w:rPr>
        <w:t>Valst</w:t>
      </w:r>
      <w:r w:rsidR="00727AE5">
        <w:rPr>
          <w:rFonts w:ascii="Times New Roman" w:hAnsi="Times New Roman" w:cs="Times New Roman"/>
          <w:sz w:val="24"/>
          <w:szCs w:val="24"/>
        </w:rPr>
        <w:t>s budžeta transfertu apjoms 2017</w:t>
      </w:r>
      <w:r w:rsidR="00D332BE" w:rsidRPr="009B21DE">
        <w:rPr>
          <w:rFonts w:ascii="Times New Roman" w:hAnsi="Times New Roman" w:cs="Times New Roman"/>
          <w:sz w:val="24"/>
          <w:szCs w:val="24"/>
        </w:rPr>
        <w:t>.</w:t>
      </w:r>
      <w:r w:rsidR="009577AC">
        <w:rPr>
          <w:rFonts w:ascii="Times New Roman" w:hAnsi="Times New Roman" w:cs="Times New Roman"/>
          <w:sz w:val="24"/>
          <w:szCs w:val="24"/>
        </w:rPr>
        <w:t>gadā ir plānots, ņemot vērā 201</w:t>
      </w:r>
      <w:r w:rsidR="00727AE5">
        <w:rPr>
          <w:rFonts w:ascii="Times New Roman" w:hAnsi="Times New Roman" w:cs="Times New Roman"/>
          <w:sz w:val="24"/>
          <w:szCs w:val="24"/>
        </w:rPr>
        <w:t>7</w:t>
      </w:r>
      <w:r w:rsidR="00D332BE" w:rsidRPr="009B21DE">
        <w:rPr>
          <w:rFonts w:ascii="Times New Roman" w:hAnsi="Times New Roman" w:cs="Times New Roman"/>
          <w:sz w:val="24"/>
          <w:szCs w:val="24"/>
        </w:rPr>
        <w:t xml:space="preserve">.gada valsts budžetā paredzēto finansējumu, spēkā esošos normatīvos aktus </w:t>
      </w:r>
      <w:proofErr w:type="gramStart"/>
      <w:r w:rsidR="00D332BE" w:rsidRPr="009B21DE">
        <w:rPr>
          <w:rFonts w:ascii="Times New Roman" w:hAnsi="Times New Roman" w:cs="Times New Roman"/>
          <w:sz w:val="24"/>
          <w:szCs w:val="24"/>
        </w:rPr>
        <w:t>(</w:t>
      </w:r>
      <w:proofErr w:type="gramEnd"/>
      <w:r w:rsidR="00D332BE" w:rsidRPr="009B21DE">
        <w:rPr>
          <w:rFonts w:ascii="Times New Roman" w:hAnsi="Times New Roman" w:cs="Times New Roman"/>
          <w:sz w:val="24"/>
          <w:szCs w:val="24"/>
        </w:rPr>
        <w:t>Ministru kabineta 2012.gad</w:t>
      </w:r>
      <w:r w:rsidR="00A8627A">
        <w:rPr>
          <w:rFonts w:ascii="Times New Roman" w:hAnsi="Times New Roman" w:cs="Times New Roman"/>
          <w:sz w:val="24"/>
          <w:szCs w:val="24"/>
        </w:rPr>
        <w:t>a 18.decembra noteikumi Nr.942 “</w:t>
      </w:r>
      <w:r w:rsidR="00D332BE" w:rsidRPr="009B21DE">
        <w:rPr>
          <w:rFonts w:ascii="Times New Roman" w:hAnsi="Times New Roman" w:cs="Times New Roman"/>
          <w:sz w:val="24"/>
          <w:szCs w:val="24"/>
        </w:rPr>
        <w:t>Kārtība, kādā piešķir un finansē asistenta pakalpojumu pašvaldībā”, Ministru kabineta 2012.gada</w:t>
      </w:r>
      <w:r w:rsidR="00A8627A">
        <w:rPr>
          <w:rFonts w:ascii="Times New Roman" w:hAnsi="Times New Roman" w:cs="Times New Roman"/>
          <w:sz w:val="24"/>
          <w:szCs w:val="24"/>
        </w:rPr>
        <w:t xml:space="preserve"> 25.septembra noteikumi Nr.670 “</w:t>
      </w:r>
      <w:r w:rsidR="00D332BE" w:rsidRPr="009B21DE">
        <w:rPr>
          <w:rFonts w:ascii="Times New Roman" w:hAnsi="Times New Roman" w:cs="Times New Roman"/>
          <w:sz w:val="24"/>
          <w:szCs w:val="24"/>
        </w:rPr>
        <w:t xml:space="preserve">Kārtība, kādā pašvaldībām tiek aprēķināta un sadalīta valsts budžeta mērķdotācija māksliniecisko kolektīvu vadītāju darba samaksai un valsts sociālās apdrošināšanas </w:t>
      </w:r>
      <w:r w:rsidR="00A8627A">
        <w:rPr>
          <w:rFonts w:ascii="Times New Roman" w:hAnsi="Times New Roman" w:cs="Times New Roman"/>
          <w:sz w:val="24"/>
          <w:szCs w:val="24"/>
        </w:rPr>
        <w:t>obligātajām iemaksām”, noslēgtie līgumi</w:t>
      </w:r>
      <w:r w:rsidR="00D332BE" w:rsidRPr="009B21DE">
        <w:rPr>
          <w:rFonts w:ascii="Times New Roman" w:hAnsi="Times New Roman" w:cs="Times New Roman"/>
          <w:sz w:val="24"/>
          <w:szCs w:val="24"/>
        </w:rPr>
        <w:t xml:space="preserve"> par Ei</w:t>
      </w:r>
      <w:r w:rsidR="00727AE5">
        <w:rPr>
          <w:rFonts w:ascii="Times New Roman" w:hAnsi="Times New Roman" w:cs="Times New Roman"/>
          <w:sz w:val="24"/>
          <w:szCs w:val="24"/>
        </w:rPr>
        <w:t xml:space="preserve">ropas Savienības fondu apguvi. </w:t>
      </w:r>
      <w:r w:rsidR="00CE77B5">
        <w:rPr>
          <w:rFonts w:ascii="Times New Roman" w:hAnsi="Times New Roman" w:cs="Times New Roman"/>
          <w:sz w:val="24"/>
          <w:szCs w:val="24"/>
        </w:rPr>
        <w:t>2017. gadā pašvaldību pasākumiem (pēc Saeimas deputātu ierosinājum</w:t>
      </w:r>
      <w:r w:rsidR="002A7ACE">
        <w:rPr>
          <w:rFonts w:ascii="Times New Roman" w:hAnsi="Times New Roman" w:cs="Times New Roman"/>
          <w:sz w:val="24"/>
          <w:szCs w:val="24"/>
        </w:rPr>
        <w:t>a</w:t>
      </w:r>
      <w:r w:rsidR="00CE77B5">
        <w:rPr>
          <w:rFonts w:ascii="Times New Roman" w:hAnsi="Times New Roman" w:cs="Times New Roman"/>
          <w:sz w:val="24"/>
          <w:szCs w:val="24"/>
        </w:rPr>
        <w:t xml:space="preserve">) pašvaldība saņems 504 800 </w:t>
      </w:r>
      <w:r w:rsidR="00A8627A">
        <w:rPr>
          <w:rFonts w:ascii="Times New Roman" w:hAnsi="Times New Roman" w:cs="Times New Roman"/>
          <w:sz w:val="24"/>
          <w:szCs w:val="24"/>
        </w:rPr>
        <w:t xml:space="preserve">EUR – tai skaitā </w:t>
      </w:r>
      <w:r w:rsidR="00CE77B5">
        <w:rPr>
          <w:rFonts w:ascii="Times New Roman" w:hAnsi="Times New Roman" w:cs="Times New Roman"/>
          <w:sz w:val="24"/>
          <w:szCs w:val="24"/>
        </w:rPr>
        <w:t>500</w:t>
      </w:r>
      <w:r w:rsidR="002A7ACE">
        <w:rPr>
          <w:rFonts w:ascii="Times New Roman" w:hAnsi="Times New Roman" w:cs="Times New Roman"/>
          <w:sz w:val="24"/>
          <w:szCs w:val="24"/>
        </w:rPr>
        <w:t> </w:t>
      </w:r>
      <w:r w:rsidR="00CE77B5">
        <w:rPr>
          <w:rFonts w:ascii="Times New Roman" w:hAnsi="Times New Roman" w:cs="Times New Roman"/>
          <w:sz w:val="24"/>
          <w:szCs w:val="24"/>
        </w:rPr>
        <w:t>000</w:t>
      </w:r>
      <w:r w:rsidR="002A7ACE">
        <w:rPr>
          <w:rFonts w:ascii="Times New Roman" w:hAnsi="Times New Roman" w:cs="Times New Roman"/>
          <w:sz w:val="24"/>
          <w:szCs w:val="24"/>
        </w:rPr>
        <w:t xml:space="preserve"> </w:t>
      </w:r>
      <w:r w:rsidR="00A8627A">
        <w:rPr>
          <w:rFonts w:ascii="Times New Roman" w:hAnsi="Times New Roman" w:cs="Times New Roman"/>
          <w:sz w:val="24"/>
          <w:szCs w:val="24"/>
        </w:rPr>
        <w:t>EUR</w:t>
      </w:r>
      <w:r w:rsidR="00CE77B5">
        <w:rPr>
          <w:rFonts w:ascii="Times New Roman" w:hAnsi="Times New Roman" w:cs="Times New Roman"/>
          <w:sz w:val="24"/>
          <w:szCs w:val="24"/>
        </w:rPr>
        <w:t xml:space="preserve"> sporta halles būvniecībai pie Tukuma 3.pamatskolas; 20 000 </w:t>
      </w:r>
      <w:r w:rsidR="00A8627A" w:rsidRPr="00A8627A">
        <w:rPr>
          <w:rFonts w:ascii="Times New Roman" w:hAnsi="Times New Roman" w:cs="Times New Roman"/>
          <w:sz w:val="24"/>
          <w:szCs w:val="24"/>
        </w:rPr>
        <w:t>EUR</w:t>
      </w:r>
      <w:r w:rsidR="00CE77B5" w:rsidRPr="00A8627A">
        <w:rPr>
          <w:rFonts w:ascii="Times New Roman" w:hAnsi="Times New Roman" w:cs="Times New Roman"/>
          <w:sz w:val="24"/>
          <w:szCs w:val="24"/>
        </w:rPr>
        <w:t xml:space="preserve"> </w:t>
      </w:r>
      <w:r w:rsidR="00CE77B5">
        <w:rPr>
          <w:rFonts w:ascii="Times New Roman" w:hAnsi="Times New Roman" w:cs="Times New Roman"/>
          <w:sz w:val="24"/>
          <w:szCs w:val="24"/>
        </w:rPr>
        <w:t xml:space="preserve">– Tukuma Nevalstisko organizāciju apvienībai biroja tehnikas iegādei; 20 000 </w:t>
      </w:r>
      <w:r w:rsidR="00A8627A">
        <w:rPr>
          <w:rFonts w:ascii="Times New Roman" w:hAnsi="Times New Roman" w:cs="Times New Roman"/>
          <w:sz w:val="24"/>
          <w:szCs w:val="24"/>
        </w:rPr>
        <w:t>EUR</w:t>
      </w:r>
      <w:r w:rsidR="00CE77B5">
        <w:rPr>
          <w:rFonts w:ascii="Times New Roman" w:hAnsi="Times New Roman" w:cs="Times New Roman"/>
          <w:sz w:val="24"/>
          <w:szCs w:val="24"/>
        </w:rPr>
        <w:t xml:space="preserve"> – </w:t>
      </w:r>
      <w:r w:rsidR="00CE77B5">
        <w:rPr>
          <w:rFonts w:ascii="Times New Roman" w:hAnsi="Times New Roman" w:cs="Times New Roman"/>
          <w:sz w:val="24"/>
          <w:szCs w:val="24"/>
        </w:rPr>
        <w:lastRenderedPageBreak/>
        <w:t>Z.</w:t>
      </w:r>
      <w:r w:rsidR="00A8627A">
        <w:rPr>
          <w:rFonts w:ascii="Times New Roman" w:hAnsi="Times New Roman" w:cs="Times New Roman"/>
          <w:sz w:val="24"/>
          <w:szCs w:val="24"/>
        </w:rPr>
        <w:t> </w:t>
      </w:r>
      <w:r w:rsidR="00CE77B5">
        <w:rPr>
          <w:rFonts w:ascii="Times New Roman" w:hAnsi="Times New Roman" w:cs="Times New Roman"/>
          <w:sz w:val="24"/>
          <w:szCs w:val="24"/>
        </w:rPr>
        <w:t>A.</w:t>
      </w:r>
      <w:r w:rsidR="00A8627A">
        <w:rPr>
          <w:rFonts w:ascii="Times New Roman" w:hAnsi="Times New Roman" w:cs="Times New Roman"/>
          <w:sz w:val="24"/>
          <w:szCs w:val="24"/>
        </w:rPr>
        <w:t> </w:t>
      </w:r>
      <w:r w:rsidR="00CE77B5">
        <w:rPr>
          <w:rFonts w:ascii="Times New Roman" w:hAnsi="Times New Roman" w:cs="Times New Roman"/>
          <w:sz w:val="24"/>
          <w:szCs w:val="24"/>
        </w:rPr>
        <w:t xml:space="preserve">Meierovica pieminekļa izveidei; Pūres kultūras namam inventāra iegādei – 2900 </w:t>
      </w:r>
      <w:r w:rsidR="00A8627A">
        <w:rPr>
          <w:rFonts w:ascii="Times New Roman" w:hAnsi="Times New Roman" w:cs="Times New Roman"/>
          <w:sz w:val="24"/>
          <w:szCs w:val="24"/>
        </w:rPr>
        <w:t>EUR</w:t>
      </w:r>
      <w:r w:rsidR="00CE77B5">
        <w:rPr>
          <w:rFonts w:ascii="Times New Roman" w:hAnsi="Times New Roman" w:cs="Times New Roman"/>
          <w:sz w:val="24"/>
          <w:szCs w:val="24"/>
        </w:rPr>
        <w:t xml:space="preserve"> un Tukuma Dzīvnieku patversmes darbības no</w:t>
      </w:r>
      <w:r w:rsidR="002A7ACE">
        <w:rPr>
          <w:rFonts w:ascii="Times New Roman" w:hAnsi="Times New Roman" w:cs="Times New Roman"/>
          <w:sz w:val="24"/>
          <w:szCs w:val="24"/>
        </w:rPr>
        <w:t>d</w:t>
      </w:r>
      <w:r w:rsidR="00CE77B5">
        <w:rPr>
          <w:rFonts w:ascii="Times New Roman" w:hAnsi="Times New Roman" w:cs="Times New Roman"/>
          <w:sz w:val="24"/>
          <w:szCs w:val="24"/>
        </w:rPr>
        <w:t xml:space="preserve">rošināšanai – 1900 </w:t>
      </w:r>
      <w:r w:rsidR="00A8627A">
        <w:rPr>
          <w:rFonts w:ascii="Times New Roman" w:hAnsi="Times New Roman" w:cs="Times New Roman"/>
          <w:sz w:val="24"/>
          <w:szCs w:val="24"/>
        </w:rPr>
        <w:t>EUR</w:t>
      </w:r>
      <w:r w:rsidR="00CE77B5" w:rsidRPr="002A7ACE">
        <w:rPr>
          <w:rFonts w:ascii="Times New Roman" w:hAnsi="Times New Roman" w:cs="Times New Roman"/>
          <w:i/>
          <w:sz w:val="24"/>
          <w:szCs w:val="24"/>
        </w:rPr>
        <w:t>.</w:t>
      </w:r>
      <w:r w:rsidR="00CE77B5">
        <w:rPr>
          <w:rFonts w:ascii="Times New Roman" w:hAnsi="Times New Roman" w:cs="Times New Roman"/>
          <w:sz w:val="24"/>
          <w:szCs w:val="24"/>
        </w:rPr>
        <w:t xml:space="preserve"> </w:t>
      </w:r>
    </w:p>
    <w:p w:rsidR="007F1693" w:rsidRPr="009B21DE" w:rsidRDefault="00A8627A" w:rsidP="00100AA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Pašvaldību</w:t>
      </w:r>
      <w:r w:rsidR="00276725">
        <w:rPr>
          <w:rFonts w:ascii="Times New Roman" w:hAnsi="Times New Roman" w:cs="Times New Roman"/>
          <w:sz w:val="24"/>
          <w:szCs w:val="24"/>
        </w:rPr>
        <w:t xml:space="preserve"> budžeta transfertu</w:t>
      </w:r>
      <w:r w:rsidR="00276725" w:rsidRPr="009B21DE">
        <w:rPr>
          <w:rFonts w:ascii="Times New Roman" w:hAnsi="Times New Roman" w:cs="Times New Roman"/>
          <w:sz w:val="24"/>
          <w:szCs w:val="24"/>
        </w:rPr>
        <w:t xml:space="preserve"> ieņēmumi</w:t>
      </w:r>
      <w:proofErr w:type="gramEnd"/>
      <w:r w:rsidR="00024466" w:rsidRPr="009B21DE">
        <w:rPr>
          <w:rFonts w:ascii="Times New Roman" w:hAnsi="Times New Roman" w:cs="Times New Roman"/>
          <w:sz w:val="24"/>
          <w:szCs w:val="24"/>
        </w:rPr>
        <w:t xml:space="preserve"> ir plānoti </w:t>
      </w:r>
      <w:r w:rsidR="00727AE5">
        <w:rPr>
          <w:rFonts w:ascii="Times New Roman" w:hAnsi="Times New Roman" w:cs="Times New Roman"/>
          <w:sz w:val="24"/>
          <w:szCs w:val="24"/>
        </w:rPr>
        <w:t>499 834</w:t>
      </w:r>
      <w:r w:rsidR="004F28B7">
        <w:rPr>
          <w:rFonts w:ascii="Times New Roman" w:hAnsi="Times New Roman" w:cs="Times New Roman"/>
          <w:sz w:val="24"/>
          <w:szCs w:val="24"/>
        </w:rPr>
        <w:t xml:space="preserve"> </w:t>
      </w:r>
      <w:r>
        <w:rPr>
          <w:rFonts w:ascii="Times New Roman" w:hAnsi="Times New Roman" w:cs="Times New Roman"/>
          <w:sz w:val="24"/>
          <w:szCs w:val="24"/>
        </w:rPr>
        <w:t>EUR,</w:t>
      </w:r>
      <w:r w:rsidR="004F28B7">
        <w:rPr>
          <w:rFonts w:ascii="Times New Roman" w:hAnsi="Times New Roman" w:cs="Times New Roman"/>
          <w:sz w:val="24"/>
          <w:szCs w:val="24"/>
        </w:rPr>
        <w:t xml:space="preserve"> t.i. </w:t>
      </w:r>
      <w:r w:rsidR="00024466" w:rsidRPr="009B21DE">
        <w:rPr>
          <w:rFonts w:ascii="Times New Roman" w:hAnsi="Times New Roman" w:cs="Times New Roman"/>
          <w:sz w:val="24"/>
          <w:szCs w:val="24"/>
        </w:rPr>
        <w:t>par savstarpējiem norēķiniem par izglītības (</w:t>
      </w:r>
      <w:r w:rsidR="00DF246F" w:rsidRPr="00DF246F">
        <w:rPr>
          <w:rFonts w:ascii="Times New Roman" w:hAnsi="Times New Roman" w:cs="Times New Roman"/>
          <w:sz w:val="24"/>
          <w:szCs w:val="24"/>
        </w:rPr>
        <w:t>381 144</w:t>
      </w:r>
      <w:r w:rsidR="00BD5351" w:rsidRPr="00DF246F">
        <w:rPr>
          <w:rFonts w:ascii="Times New Roman" w:hAnsi="Times New Roman" w:cs="Times New Roman"/>
          <w:sz w:val="24"/>
          <w:szCs w:val="24"/>
        </w:rPr>
        <w:t xml:space="preserve"> </w:t>
      </w:r>
      <w:r>
        <w:rPr>
          <w:rFonts w:ascii="Times New Roman" w:hAnsi="Times New Roman" w:cs="Times New Roman"/>
          <w:sz w:val="24"/>
          <w:szCs w:val="24"/>
        </w:rPr>
        <w:t>EUR</w:t>
      </w:r>
      <w:r w:rsidR="00006DE5" w:rsidRPr="00DF246F">
        <w:rPr>
          <w:rFonts w:ascii="Times New Roman" w:hAnsi="Times New Roman" w:cs="Times New Roman"/>
          <w:sz w:val="24"/>
          <w:szCs w:val="24"/>
        </w:rPr>
        <w:t>)</w:t>
      </w:r>
      <w:r w:rsidR="00024466" w:rsidRPr="00DF246F">
        <w:rPr>
          <w:rFonts w:ascii="Times New Roman" w:hAnsi="Times New Roman" w:cs="Times New Roman"/>
          <w:sz w:val="24"/>
          <w:szCs w:val="24"/>
        </w:rPr>
        <w:t>, kultūras, spo</w:t>
      </w:r>
      <w:r w:rsidR="00F260B5" w:rsidRPr="00DF246F">
        <w:rPr>
          <w:rFonts w:ascii="Times New Roman" w:hAnsi="Times New Roman" w:cs="Times New Roman"/>
          <w:sz w:val="24"/>
          <w:szCs w:val="24"/>
        </w:rPr>
        <w:t xml:space="preserve">rta, tūrisma </w:t>
      </w:r>
      <w:r w:rsidR="00683612" w:rsidRPr="00DF246F">
        <w:rPr>
          <w:rFonts w:ascii="Times New Roman" w:hAnsi="Times New Roman" w:cs="Times New Roman"/>
          <w:sz w:val="24"/>
          <w:szCs w:val="24"/>
        </w:rPr>
        <w:t>un aprūpes</w:t>
      </w:r>
      <w:r w:rsidR="00024466" w:rsidRPr="00DF246F">
        <w:rPr>
          <w:rFonts w:ascii="Times New Roman" w:hAnsi="Times New Roman" w:cs="Times New Roman"/>
          <w:sz w:val="24"/>
          <w:szCs w:val="24"/>
        </w:rPr>
        <w:t xml:space="preserve"> funkciju nodrošināšanas pakalpojumiem</w:t>
      </w:r>
      <w:r w:rsidR="00E51A95" w:rsidRPr="00DF246F">
        <w:rPr>
          <w:rFonts w:ascii="Times New Roman" w:hAnsi="Times New Roman" w:cs="Times New Roman"/>
          <w:sz w:val="24"/>
          <w:szCs w:val="24"/>
        </w:rPr>
        <w:t xml:space="preserve"> (</w:t>
      </w:r>
      <w:r w:rsidR="00DF246F" w:rsidRPr="00DF246F">
        <w:rPr>
          <w:rFonts w:ascii="Times New Roman" w:hAnsi="Times New Roman" w:cs="Times New Roman"/>
          <w:sz w:val="24"/>
          <w:szCs w:val="24"/>
        </w:rPr>
        <w:t>118 690</w:t>
      </w:r>
      <w:r w:rsidR="00E51A95" w:rsidRPr="00DF246F">
        <w:rPr>
          <w:rFonts w:ascii="Times New Roman" w:hAnsi="Times New Roman" w:cs="Times New Roman"/>
          <w:sz w:val="24"/>
          <w:szCs w:val="24"/>
        </w:rPr>
        <w:t xml:space="preserve"> </w:t>
      </w:r>
      <w:r>
        <w:rPr>
          <w:rFonts w:ascii="Times New Roman" w:hAnsi="Times New Roman" w:cs="Times New Roman"/>
          <w:sz w:val="24"/>
          <w:szCs w:val="24"/>
        </w:rPr>
        <w:t>EUR</w:t>
      </w:r>
      <w:r w:rsidR="00E51A95" w:rsidRPr="00DF246F">
        <w:rPr>
          <w:rFonts w:ascii="Times New Roman" w:hAnsi="Times New Roman" w:cs="Times New Roman"/>
          <w:i/>
          <w:sz w:val="24"/>
          <w:szCs w:val="24"/>
        </w:rPr>
        <w:t>)</w:t>
      </w:r>
      <w:r w:rsidR="00024466" w:rsidRPr="00DF246F">
        <w:rPr>
          <w:rFonts w:ascii="Times New Roman" w:hAnsi="Times New Roman" w:cs="Times New Roman"/>
          <w:sz w:val="24"/>
          <w:szCs w:val="24"/>
        </w:rPr>
        <w:t>.</w:t>
      </w:r>
      <w:r w:rsidR="00CE77B5">
        <w:rPr>
          <w:rFonts w:ascii="Times New Roman" w:hAnsi="Times New Roman" w:cs="Times New Roman"/>
          <w:sz w:val="24"/>
          <w:szCs w:val="24"/>
        </w:rPr>
        <w:t xml:space="preserve"> </w:t>
      </w:r>
    </w:p>
    <w:p w:rsidR="00100AA9" w:rsidRPr="009B21DE" w:rsidRDefault="00100AA9" w:rsidP="006F746C">
      <w:pPr>
        <w:jc w:val="both"/>
        <w:rPr>
          <w:rFonts w:ascii="Times New Roman" w:hAnsi="Times New Roman" w:cs="Times New Roman"/>
          <w:sz w:val="24"/>
          <w:szCs w:val="24"/>
        </w:rPr>
      </w:pPr>
    </w:p>
    <w:p w:rsidR="00103995" w:rsidRPr="009B21DE" w:rsidRDefault="00103995" w:rsidP="006F746C">
      <w:pPr>
        <w:jc w:val="both"/>
        <w:rPr>
          <w:rFonts w:ascii="Times New Roman" w:hAnsi="Times New Roman" w:cs="Times New Roman"/>
          <w:sz w:val="24"/>
          <w:szCs w:val="24"/>
        </w:rPr>
      </w:pPr>
      <w:r w:rsidRPr="009B21DE">
        <w:rPr>
          <w:rFonts w:ascii="Times New Roman" w:hAnsi="Times New Roman" w:cs="Times New Roman"/>
          <w:sz w:val="24"/>
          <w:szCs w:val="24"/>
        </w:rPr>
        <w:t>Pamatbud</w:t>
      </w:r>
      <w:r w:rsidR="00E17B6E">
        <w:rPr>
          <w:rFonts w:ascii="Times New Roman" w:hAnsi="Times New Roman" w:cs="Times New Roman"/>
          <w:sz w:val="24"/>
          <w:szCs w:val="24"/>
        </w:rPr>
        <w:t>žeta ieņēmumu struktūra attēlā N</w:t>
      </w:r>
      <w:r w:rsidRPr="009B21DE">
        <w:rPr>
          <w:rFonts w:ascii="Times New Roman" w:hAnsi="Times New Roman" w:cs="Times New Roman"/>
          <w:sz w:val="24"/>
          <w:szCs w:val="24"/>
        </w:rPr>
        <w:t>r.1</w:t>
      </w:r>
    </w:p>
    <w:p w:rsidR="00614E73" w:rsidRPr="00434F5D" w:rsidRDefault="00614E73" w:rsidP="006F746C">
      <w:pPr>
        <w:jc w:val="both"/>
        <w:rPr>
          <w:rFonts w:ascii="Times New Roman" w:hAnsi="Times New Roman" w:cs="Times New Roman"/>
          <w:b/>
          <w:i/>
          <w:sz w:val="24"/>
          <w:szCs w:val="24"/>
        </w:rPr>
      </w:pPr>
      <w:r w:rsidRPr="00434F5D">
        <w:rPr>
          <w:rFonts w:ascii="Times New Roman" w:hAnsi="Times New Roman" w:cs="Times New Roman"/>
          <w:b/>
          <w:sz w:val="24"/>
          <w:szCs w:val="24"/>
        </w:rPr>
        <w:t xml:space="preserve">Kopējie ieņēmumi </w:t>
      </w:r>
      <w:r w:rsidR="00727AE5" w:rsidRPr="00434F5D">
        <w:rPr>
          <w:rFonts w:ascii="Times New Roman" w:hAnsi="Times New Roman" w:cs="Times New Roman"/>
          <w:b/>
          <w:sz w:val="24"/>
          <w:szCs w:val="24"/>
        </w:rPr>
        <w:t>32 309 876</w:t>
      </w:r>
      <w:r w:rsidRPr="00434F5D">
        <w:rPr>
          <w:rFonts w:ascii="Times New Roman" w:hAnsi="Times New Roman" w:cs="Times New Roman"/>
          <w:b/>
          <w:sz w:val="24"/>
          <w:szCs w:val="24"/>
        </w:rPr>
        <w:t xml:space="preserve"> </w:t>
      </w:r>
      <w:r w:rsidR="00762413" w:rsidRPr="00762413">
        <w:rPr>
          <w:rFonts w:ascii="Times New Roman" w:hAnsi="Times New Roman" w:cs="Times New Roman"/>
          <w:b/>
          <w:sz w:val="24"/>
          <w:szCs w:val="24"/>
        </w:rPr>
        <w:t>EUR</w:t>
      </w:r>
    </w:p>
    <w:p w:rsidR="00103995" w:rsidRPr="009B21DE" w:rsidRDefault="00103995" w:rsidP="006F746C">
      <w:pPr>
        <w:jc w:val="both"/>
        <w:rPr>
          <w:rFonts w:ascii="Times New Roman" w:hAnsi="Times New Roman" w:cs="Times New Roman"/>
          <w:sz w:val="24"/>
          <w:szCs w:val="24"/>
        </w:rPr>
      </w:pPr>
      <w:r w:rsidRPr="009B21DE">
        <w:rPr>
          <w:rFonts w:ascii="Times New Roman" w:hAnsi="Times New Roman" w:cs="Times New Roman"/>
          <w:noProof/>
          <w:sz w:val="24"/>
          <w:szCs w:val="24"/>
          <w:lang w:eastAsia="lv-LV"/>
        </w:rPr>
        <w:drawing>
          <wp:inline distT="0" distB="0" distL="0" distR="0">
            <wp:extent cx="6019800" cy="2724150"/>
            <wp:effectExtent l="0" t="1905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2456" w:rsidRPr="009B21DE" w:rsidRDefault="00B12456" w:rsidP="006F746C">
      <w:pPr>
        <w:jc w:val="both"/>
        <w:rPr>
          <w:rFonts w:ascii="Times New Roman" w:hAnsi="Times New Roman" w:cs="Times New Roman"/>
          <w:sz w:val="24"/>
          <w:szCs w:val="24"/>
        </w:rPr>
      </w:pPr>
    </w:p>
    <w:p w:rsidR="00B12456" w:rsidRPr="009B21DE" w:rsidRDefault="00B12456" w:rsidP="006F746C">
      <w:pPr>
        <w:jc w:val="both"/>
        <w:rPr>
          <w:rFonts w:ascii="Times New Roman" w:hAnsi="Times New Roman" w:cs="Times New Roman"/>
          <w:b/>
          <w:sz w:val="24"/>
          <w:szCs w:val="24"/>
        </w:rPr>
      </w:pPr>
      <w:r w:rsidRPr="009B21DE">
        <w:rPr>
          <w:rFonts w:ascii="Times New Roman" w:hAnsi="Times New Roman" w:cs="Times New Roman"/>
          <w:b/>
          <w:sz w:val="24"/>
          <w:szCs w:val="24"/>
        </w:rPr>
        <w:t>2. Izdevumi</w:t>
      </w:r>
    </w:p>
    <w:p w:rsidR="00B50E96" w:rsidRPr="00B50E96" w:rsidRDefault="00B12456" w:rsidP="00511457">
      <w:pPr>
        <w:ind w:firstLine="720"/>
        <w:jc w:val="both"/>
        <w:rPr>
          <w:rFonts w:ascii="Times New Roman" w:hAnsi="Times New Roman" w:cs="Times New Roman"/>
          <w:i/>
          <w:sz w:val="24"/>
          <w:szCs w:val="24"/>
        </w:rPr>
      </w:pPr>
      <w:r w:rsidRPr="009B21DE">
        <w:rPr>
          <w:rFonts w:ascii="Times New Roman" w:hAnsi="Times New Roman" w:cs="Times New Roman"/>
          <w:sz w:val="24"/>
          <w:szCs w:val="24"/>
        </w:rPr>
        <w:t>Tukuma</w:t>
      </w:r>
      <w:r w:rsidR="00F34C1D">
        <w:rPr>
          <w:rFonts w:ascii="Times New Roman" w:hAnsi="Times New Roman" w:cs="Times New Roman"/>
          <w:sz w:val="24"/>
          <w:szCs w:val="24"/>
        </w:rPr>
        <w:t xml:space="preserve"> novada pašvaldības 2017</w:t>
      </w:r>
      <w:r w:rsidR="00052171">
        <w:rPr>
          <w:rFonts w:ascii="Times New Roman" w:hAnsi="Times New Roman" w:cs="Times New Roman"/>
          <w:sz w:val="24"/>
          <w:szCs w:val="24"/>
        </w:rPr>
        <w:t>. </w:t>
      </w:r>
      <w:r w:rsidR="00015021" w:rsidRPr="009B21DE">
        <w:rPr>
          <w:rFonts w:ascii="Times New Roman" w:hAnsi="Times New Roman" w:cs="Times New Roman"/>
          <w:sz w:val="24"/>
          <w:szCs w:val="24"/>
        </w:rPr>
        <w:t>gada pamatbudžeta kopējie i</w:t>
      </w:r>
      <w:r w:rsidR="00BE1399" w:rsidRPr="009B21DE">
        <w:rPr>
          <w:rFonts w:ascii="Times New Roman" w:hAnsi="Times New Roman" w:cs="Times New Roman"/>
          <w:sz w:val="24"/>
          <w:szCs w:val="24"/>
        </w:rPr>
        <w:t xml:space="preserve">zdevumi ir plānoti </w:t>
      </w:r>
      <w:r w:rsidR="00F34C1D">
        <w:rPr>
          <w:rFonts w:ascii="Times New Roman" w:hAnsi="Times New Roman" w:cs="Times New Roman"/>
          <w:sz w:val="24"/>
          <w:szCs w:val="24"/>
        </w:rPr>
        <w:t>35 763 831</w:t>
      </w:r>
      <w:r w:rsidR="00BE1399" w:rsidRPr="009B21DE">
        <w:rPr>
          <w:rFonts w:ascii="Times New Roman" w:hAnsi="Times New Roman" w:cs="Times New Roman"/>
          <w:sz w:val="24"/>
          <w:szCs w:val="24"/>
        </w:rPr>
        <w:t xml:space="preserve"> </w:t>
      </w:r>
      <w:r w:rsidR="00052171">
        <w:rPr>
          <w:rFonts w:ascii="Times New Roman" w:hAnsi="Times New Roman" w:cs="Times New Roman"/>
          <w:sz w:val="24"/>
          <w:szCs w:val="24"/>
        </w:rPr>
        <w:t>EUR</w:t>
      </w:r>
      <w:r w:rsidR="00E24FA9" w:rsidRPr="009B21DE">
        <w:rPr>
          <w:rFonts w:ascii="Times New Roman" w:hAnsi="Times New Roman" w:cs="Times New Roman"/>
          <w:i/>
          <w:sz w:val="24"/>
          <w:szCs w:val="24"/>
        </w:rPr>
        <w:t xml:space="preserve">. </w:t>
      </w:r>
      <w:r w:rsidR="00BE1399" w:rsidRPr="009B21DE">
        <w:rPr>
          <w:rFonts w:ascii="Times New Roman" w:hAnsi="Times New Roman" w:cs="Times New Roman"/>
          <w:sz w:val="24"/>
          <w:szCs w:val="24"/>
        </w:rPr>
        <w:t xml:space="preserve">Salīdzinājumā ar </w:t>
      </w:r>
      <w:r w:rsidR="00F34C1D">
        <w:rPr>
          <w:rFonts w:ascii="Times New Roman" w:hAnsi="Times New Roman" w:cs="Times New Roman"/>
          <w:sz w:val="24"/>
          <w:szCs w:val="24"/>
        </w:rPr>
        <w:t>2016.gadu</w:t>
      </w:r>
      <w:r w:rsidR="003D41EC">
        <w:rPr>
          <w:rFonts w:ascii="Times New Roman" w:hAnsi="Times New Roman" w:cs="Times New Roman"/>
          <w:sz w:val="24"/>
          <w:szCs w:val="24"/>
        </w:rPr>
        <w:t>,</w:t>
      </w:r>
      <w:r w:rsidR="00F34C1D">
        <w:rPr>
          <w:rFonts w:ascii="Times New Roman" w:hAnsi="Times New Roman" w:cs="Times New Roman"/>
          <w:sz w:val="24"/>
          <w:szCs w:val="24"/>
        </w:rPr>
        <w:t xml:space="preserve"> pieaugums</w:t>
      </w:r>
      <w:r w:rsidR="00FD51AB">
        <w:rPr>
          <w:rFonts w:ascii="Times New Roman" w:hAnsi="Times New Roman" w:cs="Times New Roman"/>
          <w:sz w:val="24"/>
          <w:szCs w:val="24"/>
        </w:rPr>
        <w:t xml:space="preserve"> ir</w:t>
      </w:r>
      <w:r w:rsidR="00FA5BFC" w:rsidRPr="009B21DE">
        <w:rPr>
          <w:rFonts w:ascii="Times New Roman" w:hAnsi="Times New Roman" w:cs="Times New Roman"/>
          <w:sz w:val="24"/>
          <w:szCs w:val="24"/>
        </w:rPr>
        <w:t xml:space="preserve"> </w:t>
      </w:r>
      <w:r w:rsidR="00F34C1D">
        <w:rPr>
          <w:rFonts w:ascii="Times New Roman" w:hAnsi="Times New Roman" w:cs="Times New Roman"/>
          <w:sz w:val="24"/>
          <w:szCs w:val="24"/>
        </w:rPr>
        <w:t>4 461 498</w:t>
      </w:r>
      <w:r w:rsidR="006B1814" w:rsidRPr="009B21DE">
        <w:rPr>
          <w:rFonts w:ascii="Times New Roman" w:hAnsi="Times New Roman" w:cs="Times New Roman"/>
          <w:sz w:val="24"/>
          <w:szCs w:val="24"/>
        </w:rPr>
        <w:t xml:space="preserve"> </w:t>
      </w:r>
      <w:r w:rsidR="003D41EC">
        <w:rPr>
          <w:rFonts w:ascii="Times New Roman" w:hAnsi="Times New Roman" w:cs="Times New Roman"/>
          <w:sz w:val="24"/>
          <w:szCs w:val="24"/>
        </w:rPr>
        <w:t>EUR</w:t>
      </w:r>
      <w:r w:rsidR="00FA5BFC" w:rsidRPr="009B21DE">
        <w:rPr>
          <w:rFonts w:ascii="Times New Roman" w:hAnsi="Times New Roman" w:cs="Times New Roman"/>
          <w:sz w:val="24"/>
          <w:szCs w:val="24"/>
        </w:rPr>
        <w:t xml:space="preserve">. </w:t>
      </w:r>
      <w:r w:rsidR="00C31C23">
        <w:rPr>
          <w:rFonts w:ascii="Times New Roman" w:hAnsi="Times New Roman" w:cs="Times New Roman"/>
          <w:sz w:val="24"/>
          <w:szCs w:val="24"/>
        </w:rPr>
        <w:t xml:space="preserve">Tas saistīts ar to, ka izdevumos ir ieplānots aizņēmums </w:t>
      </w:r>
      <w:r w:rsidR="003D41EC">
        <w:rPr>
          <w:rFonts w:ascii="Times New Roman" w:hAnsi="Times New Roman" w:cs="Times New Roman"/>
          <w:sz w:val="24"/>
          <w:szCs w:val="24"/>
        </w:rPr>
        <w:t xml:space="preserve">Tukuma </w:t>
      </w:r>
      <w:r w:rsidR="00C31C23">
        <w:rPr>
          <w:rFonts w:ascii="Times New Roman" w:hAnsi="Times New Roman" w:cs="Times New Roman"/>
          <w:sz w:val="24"/>
          <w:szCs w:val="24"/>
        </w:rPr>
        <w:t>3.pamatskolas stadiona un sporta zāles būvniecībai (4 259</w:t>
      </w:r>
      <w:r w:rsidR="00434F5D">
        <w:rPr>
          <w:rFonts w:ascii="Times New Roman" w:hAnsi="Times New Roman" w:cs="Times New Roman"/>
          <w:sz w:val="24"/>
          <w:szCs w:val="24"/>
        </w:rPr>
        <w:t> </w:t>
      </w:r>
      <w:r w:rsidR="00C31C23">
        <w:rPr>
          <w:rFonts w:ascii="Times New Roman" w:hAnsi="Times New Roman" w:cs="Times New Roman"/>
          <w:sz w:val="24"/>
          <w:szCs w:val="24"/>
        </w:rPr>
        <w:t>408</w:t>
      </w:r>
      <w:r w:rsidR="00434F5D">
        <w:rPr>
          <w:rFonts w:ascii="Times New Roman" w:hAnsi="Times New Roman" w:cs="Times New Roman"/>
          <w:sz w:val="24"/>
          <w:szCs w:val="24"/>
        </w:rPr>
        <w:t xml:space="preserve"> </w:t>
      </w:r>
      <w:r w:rsidR="003D41EC">
        <w:rPr>
          <w:rFonts w:ascii="Times New Roman" w:hAnsi="Times New Roman" w:cs="Times New Roman"/>
          <w:sz w:val="24"/>
          <w:szCs w:val="24"/>
        </w:rPr>
        <w:t>EUR</w:t>
      </w:r>
      <w:r w:rsidR="00C31C23">
        <w:rPr>
          <w:rFonts w:ascii="Times New Roman" w:hAnsi="Times New Roman" w:cs="Times New Roman"/>
          <w:sz w:val="24"/>
          <w:szCs w:val="24"/>
        </w:rPr>
        <w:t xml:space="preserve">). </w:t>
      </w:r>
      <w:r w:rsidR="00015021" w:rsidRPr="009B21DE">
        <w:rPr>
          <w:rFonts w:ascii="Times New Roman" w:hAnsi="Times New Roman" w:cs="Times New Roman"/>
          <w:sz w:val="24"/>
          <w:szCs w:val="24"/>
        </w:rPr>
        <w:t>Visi pašvaldības plānotie izdevumi pēc savas ekonomiskās būtības iedalīti deviņās funkcionālajās kat</w:t>
      </w:r>
      <w:r w:rsidR="00E17B6E">
        <w:rPr>
          <w:rFonts w:ascii="Times New Roman" w:hAnsi="Times New Roman" w:cs="Times New Roman"/>
          <w:sz w:val="24"/>
          <w:szCs w:val="24"/>
        </w:rPr>
        <w:t xml:space="preserve">egorijās, to sadalījums </w:t>
      </w:r>
      <w:r w:rsidR="003D41EC">
        <w:rPr>
          <w:rFonts w:ascii="Times New Roman" w:hAnsi="Times New Roman" w:cs="Times New Roman"/>
          <w:sz w:val="24"/>
          <w:szCs w:val="24"/>
        </w:rPr>
        <w:t xml:space="preserve">redzams </w:t>
      </w:r>
      <w:r w:rsidR="00E17B6E">
        <w:rPr>
          <w:rFonts w:ascii="Times New Roman" w:hAnsi="Times New Roman" w:cs="Times New Roman"/>
          <w:sz w:val="24"/>
          <w:szCs w:val="24"/>
        </w:rPr>
        <w:t>attēlā N</w:t>
      </w:r>
      <w:r w:rsidR="00AB57DD" w:rsidRPr="009B21DE">
        <w:rPr>
          <w:rFonts w:ascii="Times New Roman" w:hAnsi="Times New Roman" w:cs="Times New Roman"/>
          <w:sz w:val="24"/>
          <w:szCs w:val="24"/>
        </w:rPr>
        <w:t>r.2</w:t>
      </w:r>
      <w:r w:rsidR="00367024" w:rsidRPr="009B21DE">
        <w:rPr>
          <w:rFonts w:ascii="Times New Roman" w:hAnsi="Times New Roman" w:cs="Times New Roman"/>
          <w:sz w:val="24"/>
          <w:szCs w:val="24"/>
        </w:rPr>
        <w:t>. Lielākais izdevumu īpatsvars b</w:t>
      </w:r>
      <w:r w:rsidR="00434F5D">
        <w:rPr>
          <w:rFonts w:ascii="Times New Roman" w:hAnsi="Times New Roman" w:cs="Times New Roman"/>
          <w:sz w:val="24"/>
          <w:szCs w:val="24"/>
        </w:rPr>
        <w:t>udžetā ir atbalsts izglīt</w:t>
      </w:r>
      <w:r w:rsidR="00F31D45">
        <w:rPr>
          <w:rFonts w:ascii="Times New Roman" w:hAnsi="Times New Roman" w:cs="Times New Roman"/>
          <w:sz w:val="24"/>
          <w:szCs w:val="24"/>
        </w:rPr>
        <w:t>ībai 61%, kultūrai un sportam 10</w:t>
      </w:r>
      <w:r w:rsidR="00367024" w:rsidRPr="009B21DE">
        <w:rPr>
          <w:rFonts w:ascii="Times New Roman" w:hAnsi="Times New Roman" w:cs="Times New Roman"/>
          <w:sz w:val="24"/>
          <w:szCs w:val="24"/>
        </w:rPr>
        <w:t>% un sociālaja</w:t>
      </w:r>
      <w:r w:rsidR="00096D2A" w:rsidRPr="009B21DE">
        <w:rPr>
          <w:rFonts w:ascii="Times New Roman" w:hAnsi="Times New Roman" w:cs="Times New Roman"/>
          <w:sz w:val="24"/>
          <w:szCs w:val="24"/>
        </w:rPr>
        <w:t xml:space="preserve">i palīdzībai un </w:t>
      </w:r>
      <w:r w:rsidR="00434F5D">
        <w:rPr>
          <w:rFonts w:ascii="Times New Roman" w:hAnsi="Times New Roman" w:cs="Times New Roman"/>
          <w:sz w:val="24"/>
          <w:szCs w:val="24"/>
        </w:rPr>
        <w:t>pakalpojumiem 8</w:t>
      </w:r>
      <w:r w:rsidR="00367024" w:rsidRPr="009B21DE">
        <w:rPr>
          <w:rFonts w:ascii="Times New Roman" w:hAnsi="Times New Roman" w:cs="Times New Roman"/>
          <w:sz w:val="24"/>
          <w:szCs w:val="24"/>
        </w:rPr>
        <w:t>%.</w:t>
      </w:r>
      <w:r w:rsidR="006D0DED" w:rsidRPr="009B21DE">
        <w:rPr>
          <w:rFonts w:ascii="Times New Roman" w:hAnsi="Times New Roman" w:cs="Times New Roman"/>
          <w:sz w:val="24"/>
          <w:szCs w:val="24"/>
        </w:rPr>
        <w:t xml:space="preserve"> Visām pašvaldības iestādēm</w:t>
      </w:r>
      <w:r w:rsidR="004E7BCD" w:rsidRPr="009B21DE">
        <w:rPr>
          <w:rFonts w:ascii="Times New Roman" w:hAnsi="Times New Roman" w:cs="Times New Roman"/>
          <w:sz w:val="24"/>
          <w:szCs w:val="24"/>
        </w:rPr>
        <w:t xml:space="preserve">, </w:t>
      </w:r>
      <w:r w:rsidR="00434F5D">
        <w:rPr>
          <w:rFonts w:ascii="Times New Roman" w:hAnsi="Times New Roman" w:cs="Times New Roman"/>
          <w:sz w:val="24"/>
          <w:szCs w:val="24"/>
        </w:rPr>
        <w:t>plānojot 2017</w:t>
      </w:r>
      <w:r w:rsidR="003D41EC">
        <w:rPr>
          <w:rFonts w:ascii="Times New Roman" w:hAnsi="Times New Roman" w:cs="Times New Roman"/>
          <w:sz w:val="24"/>
          <w:szCs w:val="24"/>
        </w:rPr>
        <w:t>. </w:t>
      </w:r>
      <w:r w:rsidR="004E7BCD" w:rsidRPr="009B21DE">
        <w:rPr>
          <w:rFonts w:ascii="Times New Roman" w:hAnsi="Times New Roman" w:cs="Times New Roman"/>
          <w:sz w:val="24"/>
          <w:szCs w:val="24"/>
        </w:rPr>
        <w:t>gada izdevumus,</w:t>
      </w:r>
      <w:r w:rsidR="006D0DED" w:rsidRPr="009B21DE">
        <w:rPr>
          <w:rFonts w:ascii="Times New Roman" w:hAnsi="Times New Roman" w:cs="Times New Roman"/>
          <w:sz w:val="24"/>
          <w:szCs w:val="24"/>
        </w:rPr>
        <w:t xml:space="preserve"> bija jāievēro vienādi nosac</w:t>
      </w:r>
      <w:r w:rsidR="00FD51AB">
        <w:rPr>
          <w:rFonts w:ascii="Times New Roman" w:hAnsi="Times New Roman" w:cs="Times New Roman"/>
          <w:sz w:val="24"/>
          <w:szCs w:val="24"/>
        </w:rPr>
        <w:t>ījumi – budžeta izdevumi kā 201</w:t>
      </w:r>
      <w:r w:rsidR="00434F5D">
        <w:rPr>
          <w:rFonts w:ascii="Times New Roman" w:hAnsi="Times New Roman" w:cs="Times New Roman"/>
          <w:sz w:val="24"/>
          <w:szCs w:val="24"/>
        </w:rPr>
        <w:t>6</w:t>
      </w:r>
      <w:r w:rsidR="00147215">
        <w:rPr>
          <w:rFonts w:ascii="Times New Roman" w:hAnsi="Times New Roman" w:cs="Times New Roman"/>
          <w:sz w:val="24"/>
          <w:szCs w:val="24"/>
        </w:rPr>
        <w:t>. </w:t>
      </w:r>
      <w:r w:rsidR="009F4A6E" w:rsidRPr="009B21DE">
        <w:rPr>
          <w:rFonts w:ascii="Times New Roman" w:hAnsi="Times New Roman" w:cs="Times New Roman"/>
          <w:sz w:val="24"/>
          <w:szCs w:val="24"/>
        </w:rPr>
        <w:t>g</w:t>
      </w:r>
      <w:r w:rsidR="006D0DED" w:rsidRPr="009B21DE">
        <w:rPr>
          <w:rFonts w:ascii="Times New Roman" w:hAnsi="Times New Roman" w:cs="Times New Roman"/>
          <w:sz w:val="24"/>
          <w:szCs w:val="24"/>
        </w:rPr>
        <w:t>ada sākotnējais plāns</w:t>
      </w:r>
      <w:r w:rsidR="00096D2A" w:rsidRPr="009B21DE">
        <w:rPr>
          <w:rFonts w:ascii="Times New Roman" w:hAnsi="Times New Roman" w:cs="Times New Roman"/>
          <w:sz w:val="24"/>
          <w:szCs w:val="24"/>
        </w:rPr>
        <w:t xml:space="preserve"> ar p</w:t>
      </w:r>
      <w:r w:rsidR="005918EA" w:rsidRPr="009B21DE">
        <w:rPr>
          <w:rFonts w:ascii="Times New Roman" w:hAnsi="Times New Roman" w:cs="Times New Roman"/>
          <w:sz w:val="24"/>
          <w:szCs w:val="24"/>
        </w:rPr>
        <w:t>lānoto izdevumu pieaugumu līdz 5</w:t>
      </w:r>
      <w:r w:rsidR="00096D2A" w:rsidRPr="009B21DE">
        <w:rPr>
          <w:rFonts w:ascii="Times New Roman" w:hAnsi="Times New Roman" w:cs="Times New Roman"/>
          <w:sz w:val="24"/>
          <w:szCs w:val="24"/>
        </w:rPr>
        <w:t>%</w:t>
      </w:r>
      <w:r w:rsidR="00147215">
        <w:rPr>
          <w:rFonts w:ascii="Times New Roman" w:hAnsi="Times New Roman" w:cs="Times New Roman"/>
          <w:sz w:val="24"/>
          <w:szCs w:val="24"/>
        </w:rPr>
        <w:t>. T</w:t>
      </w:r>
      <w:r w:rsidR="009F4A6E" w:rsidRPr="009B21DE">
        <w:rPr>
          <w:rFonts w:ascii="Times New Roman" w:hAnsi="Times New Roman" w:cs="Times New Roman"/>
          <w:sz w:val="24"/>
          <w:szCs w:val="24"/>
        </w:rPr>
        <w:t>am jābūt pamatotam ar skaitļiem (atvērta jauna iestāde, mainījušies tarifi komunālajiem pakalpojumiem u.c.), plānotie kapitālie rem</w:t>
      </w:r>
      <w:r w:rsidR="00147215">
        <w:rPr>
          <w:rFonts w:ascii="Times New Roman" w:hAnsi="Times New Roman" w:cs="Times New Roman"/>
          <w:sz w:val="24"/>
          <w:szCs w:val="24"/>
        </w:rPr>
        <w:t>onti</w:t>
      </w:r>
      <w:r w:rsidR="009F4A6E" w:rsidRPr="009B21DE">
        <w:rPr>
          <w:rFonts w:ascii="Times New Roman" w:hAnsi="Times New Roman" w:cs="Times New Roman"/>
          <w:sz w:val="24"/>
          <w:szCs w:val="24"/>
        </w:rPr>
        <w:t xml:space="preserve"> un pamatlīdzekļu iegāde netiek plānota, bet tiek iekļauta prioritāšu sarakstā. </w:t>
      </w:r>
      <w:r w:rsidR="00096D2A" w:rsidRPr="009B21DE">
        <w:rPr>
          <w:rFonts w:ascii="Times New Roman" w:hAnsi="Times New Roman" w:cs="Times New Roman"/>
          <w:sz w:val="24"/>
          <w:szCs w:val="24"/>
        </w:rPr>
        <w:t>Izņemot gadī</w:t>
      </w:r>
      <w:r w:rsidR="00E17B6E">
        <w:rPr>
          <w:rFonts w:ascii="Times New Roman" w:hAnsi="Times New Roman" w:cs="Times New Roman"/>
          <w:sz w:val="24"/>
          <w:szCs w:val="24"/>
        </w:rPr>
        <w:t>jumus, ja ir avārijas situācija</w:t>
      </w:r>
      <w:r w:rsidR="00096D2A" w:rsidRPr="009B21DE">
        <w:rPr>
          <w:rFonts w:ascii="Times New Roman" w:hAnsi="Times New Roman" w:cs="Times New Roman"/>
          <w:sz w:val="24"/>
          <w:szCs w:val="24"/>
        </w:rPr>
        <w:t xml:space="preserve"> un v</w:t>
      </w:r>
      <w:r w:rsidR="00062174" w:rsidRPr="009B21DE">
        <w:rPr>
          <w:rFonts w:ascii="Times New Roman" w:hAnsi="Times New Roman" w:cs="Times New Roman"/>
          <w:sz w:val="24"/>
          <w:szCs w:val="24"/>
        </w:rPr>
        <w:t>ar tikt traucēta iestādes darbība</w:t>
      </w:r>
      <w:r w:rsidR="00096D2A" w:rsidRPr="009B21DE">
        <w:rPr>
          <w:rFonts w:ascii="Times New Roman" w:hAnsi="Times New Roman" w:cs="Times New Roman"/>
          <w:sz w:val="24"/>
          <w:szCs w:val="24"/>
        </w:rPr>
        <w:t>.</w:t>
      </w:r>
      <w:r w:rsidR="00434F5D">
        <w:rPr>
          <w:rFonts w:ascii="Times New Roman" w:hAnsi="Times New Roman" w:cs="Times New Roman"/>
          <w:sz w:val="24"/>
          <w:szCs w:val="24"/>
        </w:rPr>
        <w:t xml:space="preserve"> </w:t>
      </w:r>
      <w:r w:rsidR="007D5350">
        <w:rPr>
          <w:rFonts w:ascii="Times New Roman" w:hAnsi="Times New Roman" w:cs="Times New Roman"/>
          <w:sz w:val="24"/>
          <w:szCs w:val="24"/>
        </w:rPr>
        <w:t>Tā kā pašvaldības prioritāte ir izglītība, tad izglītības</w:t>
      </w:r>
      <w:r w:rsidR="00147215">
        <w:rPr>
          <w:rFonts w:ascii="Times New Roman" w:hAnsi="Times New Roman" w:cs="Times New Roman"/>
          <w:sz w:val="24"/>
          <w:szCs w:val="24"/>
        </w:rPr>
        <w:t xml:space="preserve"> sfērai ir plānots pieaugums 32,</w:t>
      </w:r>
      <w:r w:rsidR="007D5350">
        <w:rPr>
          <w:rFonts w:ascii="Times New Roman" w:hAnsi="Times New Roman" w:cs="Times New Roman"/>
          <w:sz w:val="24"/>
          <w:szCs w:val="24"/>
        </w:rPr>
        <w:t xml:space="preserve">51 %. </w:t>
      </w:r>
      <w:r w:rsidR="00434F5D">
        <w:rPr>
          <w:rFonts w:ascii="Times New Roman" w:hAnsi="Times New Roman" w:cs="Times New Roman"/>
          <w:sz w:val="24"/>
          <w:szCs w:val="24"/>
        </w:rPr>
        <w:t>V</w:t>
      </w:r>
      <w:r w:rsidR="00953353" w:rsidRPr="009B21DE">
        <w:rPr>
          <w:rFonts w:ascii="Times New Roman" w:hAnsi="Times New Roman" w:cs="Times New Roman"/>
          <w:sz w:val="24"/>
          <w:szCs w:val="24"/>
        </w:rPr>
        <w:t>i</w:t>
      </w:r>
      <w:r w:rsidR="005918EA" w:rsidRPr="009B21DE">
        <w:rPr>
          <w:rFonts w:ascii="Times New Roman" w:hAnsi="Times New Roman" w:cs="Times New Roman"/>
          <w:sz w:val="24"/>
          <w:szCs w:val="24"/>
        </w:rPr>
        <w:t xml:space="preserve">sām iestādēm </w:t>
      </w:r>
      <w:r w:rsidR="00E17B6E">
        <w:rPr>
          <w:rFonts w:ascii="Times New Roman" w:hAnsi="Times New Roman" w:cs="Times New Roman"/>
          <w:sz w:val="24"/>
          <w:szCs w:val="24"/>
        </w:rPr>
        <w:t>atbilstīgi r</w:t>
      </w:r>
      <w:r w:rsidR="00434F5D">
        <w:rPr>
          <w:rFonts w:ascii="Times New Roman" w:hAnsi="Times New Roman" w:cs="Times New Roman"/>
          <w:sz w:val="24"/>
          <w:szCs w:val="24"/>
        </w:rPr>
        <w:t xml:space="preserve">īkojumam par budžeta sagatavošanu tika </w:t>
      </w:r>
      <w:r w:rsidR="005918EA" w:rsidRPr="009B21DE">
        <w:rPr>
          <w:rFonts w:ascii="Times New Roman" w:hAnsi="Times New Roman" w:cs="Times New Roman"/>
          <w:sz w:val="24"/>
          <w:szCs w:val="24"/>
        </w:rPr>
        <w:t>noteikti vienādi budžeta sagatavošanas kritēriji u</w:t>
      </w:r>
      <w:r w:rsidR="006700A0" w:rsidRPr="009B21DE">
        <w:rPr>
          <w:rFonts w:ascii="Times New Roman" w:hAnsi="Times New Roman" w:cs="Times New Roman"/>
          <w:sz w:val="24"/>
          <w:szCs w:val="24"/>
        </w:rPr>
        <w:t>n aprēķini, lai būtu vienlīdzīgi</w:t>
      </w:r>
      <w:r w:rsidR="005918EA" w:rsidRPr="009B21DE">
        <w:rPr>
          <w:rFonts w:ascii="Times New Roman" w:hAnsi="Times New Roman" w:cs="Times New Roman"/>
          <w:sz w:val="24"/>
          <w:szCs w:val="24"/>
        </w:rPr>
        <w:t xml:space="preserve"> budžeta bāzes dati.</w:t>
      </w:r>
      <w:r w:rsidR="00434F5D">
        <w:rPr>
          <w:rFonts w:ascii="Times New Roman" w:hAnsi="Times New Roman" w:cs="Times New Roman"/>
          <w:sz w:val="24"/>
          <w:szCs w:val="24"/>
        </w:rPr>
        <w:t xml:space="preserve"> </w:t>
      </w:r>
      <w:r w:rsidR="001B013C">
        <w:rPr>
          <w:rFonts w:ascii="Times New Roman" w:hAnsi="Times New Roman" w:cs="Times New Roman"/>
          <w:sz w:val="24"/>
          <w:szCs w:val="24"/>
        </w:rPr>
        <w:t>Visām novada pašvaldības iestādēm plānots palielinājums atlīdzībai līdz 5%.</w:t>
      </w:r>
      <w:r w:rsidR="00B50E96">
        <w:rPr>
          <w:rFonts w:ascii="Times New Roman" w:hAnsi="Times New Roman" w:cs="Times New Roman"/>
          <w:sz w:val="24"/>
          <w:szCs w:val="24"/>
        </w:rPr>
        <w:t xml:space="preserve"> Izdevumi neparedzētiem gadījumiem noteikti 100 000 </w:t>
      </w:r>
      <w:r w:rsidR="00147215">
        <w:rPr>
          <w:rFonts w:ascii="Times New Roman" w:hAnsi="Times New Roman" w:cs="Times New Roman"/>
          <w:sz w:val="24"/>
          <w:szCs w:val="24"/>
        </w:rPr>
        <w:t>EUR</w:t>
      </w:r>
      <w:r w:rsidR="00B50E96" w:rsidRPr="00B50E96">
        <w:rPr>
          <w:rFonts w:ascii="Times New Roman" w:hAnsi="Times New Roman" w:cs="Times New Roman"/>
          <w:i/>
          <w:sz w:val="24"/>
          <w:szCs w:val="24"/>
        </w:rPr>
        <w:t>.</w:t>
      </w:r>
    </w:p>
    <w:p w:rsidR="00BF6158" w:rsidRPr="009B21DE" w:rsidRDefault="00BF6158" w:rsidP="00027883">
      <w:pPr>
        <w:jc w:val="both"/>
        <w:rPr>
          <w:rFonts w:ascii="Times New Roman" w:hAnsi="Times New Roman" w:cs="Times New Roman"/>
          <w:sz w:val="24"/>
          <w:szCs w:val="24"/>
        </w:rPr>
      </w:pPr>
    </w:p>
    <w:p w:rsidR="00BF6158" w:rsidRPr="009B21DE" w:rsidRDefault="00EB2255" w:rsidP="00D433E2">
      <w:pPr>
        <w:rPr>
          <w:rFonts w:ascii="Times New Roman" w:hAnsi="Times New Roman" w:cs="Times New Roman"/>
          <w:sz w:val="24"/>
          <w:szCs w:val="24"/>
        </w:rPr>
      </w:pPr>
      <w:r>
        <w:rPr>
          <w:rFonts w:ascii="Times New Roman" w:hAnsi="Times New Roman" w:cs="Times New Roman"/>
          <w:sz w:val="24"/>
          <w:szCs w:val="24"/>
        </w:rPr>
        <w:br w:type="page"/>
      </w:r>
      <w:r w:rsidR="00BF6158" w:rsidRPr="009B21DE">
        <w:rPr>
          <w:rFonts w:ascii="Times New Roman" w:hAnsi="Times New Roman" w:cs="Times New Roman"/>
          <w:sz w:val="24"/>
          <w:szCs w:val="24"/>
        </w:rPr>
        <w:lastRenderedPageBreak/>
        <w:t xml:space="preserve">Pamatbudžeta izdevumu struktūra attēlā </w:t>
      </w:r>
      <w:r w:rsidR="00E17B6E">
        <w:rPr>
          <w:rFonts w:ascii="Times New Roman" w:hAnsi="Times New Roman" w:cs="Times New Roman"/>
          <w:sz w:val="24"/>
          <w:szCs w:val="24"/>
        </w:rPr>
        <w:t>N</w:t>
      </w:r>
      <w:r w:rsidR="00BF6158" w:rsidRPr="009B21DE">
        <w:rPr>
          <w:rFonts w:ascii="Times New Roman" w:hAnsi="Times New Roman" w:cs="Times New Roman"/>
          <w:sz w:val="24"/>
          <w:szCs w:val="24"/>
        </w:rPr>
        <w:t>r.2</w:t>
      </w:r>
    </w:p>
    <w:p w:rsidR="00BF6158" w:rsidRPr="00EF0D85" w:rsidRDefault="006B1814" w:rsidP="00027883">
      <w:pPr>
        <w:jc w:val="both"/>
        <w:rPr>
          <w:rFonts w:ascii="Times New Roman" w:hAnsi="Times New Roman" w:cs="Times New Roman"/>
          <w:b/>
          <w:sz w:val="24"/>
          <w:szCs w:val="24"/>
        </w:rPr>
      </w:pPr>
      <w:r w:rsidRPr="00434F5D">
        <w:rPr>
          <w:rFonts w:ascii="Times New Roman" w:hAnsi="Times New Roman" w:cs="Times New Roman"/>
          <w:b/>
          <w:sz w:val="24"/>
          <w:szCs w:val="24"/>
        </w:rPr>
        <w:t xml:space="preserve">Kopējie izdevumi </w:t>
      </w:r>
      <w:r w:rsidR="00C31C23" w:rsidRPr="00434F5D">
        <w:rPr>
          <w:rFonts w:ascii="Times New Roman" w:hAnsi="Times New Roman" w:cs="Times New Roman"/>
          <w:b/>
          <w:sz w:val="24"/>
          <w:szCs w:val="24"/>
        </w:rPr>
        <w:t>35 763 831</w:t>
      </w:r>
      <w:r w:rsidRPr="00434F5D">
        <w:rPr>
          <w:rFonts w:ascii="Times New Roman" w:hAnsi="Times New Roman" w:cs="Times New Roman"/>
          <w:b/>
          <w:sz w:val="24"/>
          <w:szCs w:val="24"/>
        </w:rPr>
        <w:t xml:space="preserve"> </w:t>
      </w:r>
      <w:r w:rsidR="00EF0D85">
        <w:rPr>
          <w:rFonts w:ascii="Times New Roman" w:hAnsi="Times New Roman" w:cs="Times New Roman"/>
          <w:b/>
          <w:sz w:val="24"/>
          <w:szCs w:val="24"/>
        </w:rPr>
        <w:t>EUR</w:t>
      </w:r>
    </w:p>
    <w:p w:rsidR="00B12456" w:rsidRPr="009B21DE" w:rsidRDefault="00897689" w:rsidP="006F746C">
      <w:pPr>
        <w:jc w:val="both"/>
        <w:rPr>
          <w:rFonts w:ascii="Times New Roman" w:hAnsi="Times New Roman" w:cs="Times New Roman"/>
          <w:sz w:val="24"/>
          <w:szCs w:val="24"/>
        </w:rPr>
      </w:pPr>
      <w:r w:rsidRPr="009B21DE">
        <w:rPr>
          <w:rFonts w:ascii="Times New Roman" w:hAnsi="Times New Roman" w:cs="Times New Roman"/>
          <w:noProof/>
          <w:sz w:val="24"/>
          <w:szCs w:val="24"/>
          <w:lang w:eastAsia="lv-LV"/>
        </w:rPr>
        <w:drawing>
          <wp:inline distT="0" distB="0" distL="0" distR="0">
            <wp:extent cx="5715000" cy="4381500"/>
            <wp:effectExtent l="0" t="0" r="3810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7024" w:rsidRPr="009B21DE" w:rsidRDefault="00367024" w:rsidP="006F746C">
      <w:pPr>
        <w:jc w:val="both"/>
        <w:rPr>
          <w:rFonts w:ascii="Times New Roman" w:hAnsi="Times New Roman" w:cs="Times New Roman"/>
          <w:sz w:val="24"/>
          <w:szCs w:val="24"/>
        </w:rPr>
      </w:pPr>
    </w:p>
    <w:p w:rsidR="008254A8" w:rsidRDefault="00897689" w:rsidP="006F746C">
      <w:pPr>
        <w:jc w:val="both"/>
        <w:rPr>
          <w:rFonts w:ascii="Times New Roman" w:hAnsi="Times New Roman" w:cs="Times New Roman"/>
          <w:sz w:val="24"/>
          <w:szCs w:val="24"/>
        </w:rPr>
      </w:pPr>
      <w:r w:rsidRPr="00EF0D85">
        <w:rPr>
          <w:rFonts w:ascii="Times New Roman" w:hAnsi="Times New Roman" w:cs="Times New Roman"/>
          <w:b/>
          <w:sz w:val="24"/>
          <w:szCs w:val="24"/>
        </w:rPr>
        <w:t>2.1. Pārvaldes izdevumi</w:t>
      </w:r>
      <w:r w:rsidRPr="009B21DE">
        <w:rPr>
          <w:rFonts w:ascii="Times New Roman" w:hAnsi="Times New Roman" w:cs="Times New Roman"/>
          <w:sz w:val="24"/>
          <w:szCs w:val="24"/>
        </w:rPr>
        <w:t>. Saskaņā</w:t>
      </w:r>
      <w:r w:rsidR="00EF0D85">
        <w:rPr>
          <w:rFonts w:ascii="Times New Roman" w:hAnsi="Times New Roman" w:cs="Times New Roman"/>
          <w:sz w:val="24"/>
          <w:szCs w:val="24"/>
        </w:rPr>
        <w:t xml:space="preserve"> ar LR likumu “</w:t>
      </w:r>
      <w:r w:rsidRPr="009B21DE">
        <w:rPr>
          <w:rFonts w:ascii="Times New Roman" w:hAnsi="Times New Roman" w:cs="Times New Roman"/>
          <w:sz w:val="24"/>
          <w:szCs w:val="24"/>
        </w:rPr>
        <w:t>Par pašvaldībām” un atbilstoši Tukuma novada Domes nolikumam, pašvaldības iedzīvotāju pārstāvību nodrošina pašvaldības lēmējorgāns – dome, ko veido ievēlēti deputāti</w:t>
      </w:r>
      <w:r w:rsidR="001A7E43" w:rsidRPr="009B21DE">
        <w:rPr>
          <w:rFonts w:ascii="Times New Roman" w:hAnsi="Times New Roman" w:cs="Times New Roman"/>
          <w:sz w:val="24"/>
          <w:szCs w:val="24"/>
        </w:rPr>
        <w:t>, savukārt domes pieņemto lēmumu izpildi, kā arī tās darba organizatorisko un tehnisko apkalpošanu nodrošina pašvaldības admin</w:t>
      </w:r>
      <w:r w:rsidR="00C95B9E">
        <w:rPr>
          <w:rFonts w:ascii="Times New Roman" w:hAnsi="Times New Roman" w:cs="Times New Roman"/>
          <w:sz w:val="24"/>
          <w:szCs w:val="24"/>
        </w:rPr>
        <w:t>istrācija. Kopējie izdevumi 2017</w:t>
      </w:r>
      <w:r w:rsidR="00EF0D85">
        <w:rPr>
          <w:rFonts w:ascii="Times New Roman" w:hAnsi="Times New Roman" w:cs="Times New Roman"/>
          <w:sz w:val="24"/>
          <w:szCs w:val="24"/>
        </w:rPr>
        <w:t>. </w:t>
      </w:r>
      <w:r w:rsidR="001A7E43" w:rsidRPr="009B21DE">
        <w:rPr>
          <w:rFonts w:ascii="Times New Roman" w:hAnsi="Times New Roman" w:cs="Times New Roman"/>
          <w:sz w:val="24"/>
          <w:szCs w:val="24"/>
        </w:rPr>
        <w:t xml:space="preserve">gadā ir </w:t>
      </w:r>
      <w:r w:rsidR="008254A8">
        <w:rPr>
          <w:rFonts w:ascii="Times New Roman" w:hAnsi="Times New Roman" w:cs="Times New Roman"/>
          <w:sz w:val="24"/>
          <w:szCs w:val="24"/>
        </w:rPr>
        <w:t>2</w:t>
      </w:r>
      <w:r w:rsidR="00C95B9E">
        <w:rPr>
          <w:rFonts w:ascii="Times New Roman" w:hAnsi="Times New Roman" w:cs="Times New Roman"/>
          <w:sz w:val="24"/>
          <w:szCs w:val="24"/>
        </w:rPr>
        <w:t xml:space="preserve"> 642 375 </w:t>
      </w:r>
      <w:r w:rsidR="00EF0D85">
        <w:rPr>
          <w:rFonts w:ascii="Times New Roman" w:hAnsi="Times New Roman" w:cs="Times New Roman"/>
          <w:sz w:val="24"/>
          <w:szCs w:val="24"/>
        </w:rPr>
        <w:t>EUR</w:t>
      </w:r>
      <w:r w:rsidR="002B574A">
        <w:rPr>
          <w:rFonts w:ascii="Times New Roman" w:hAnsi="Times New Roman" w:cs="Times New Roman"/>
          <w:sz w:val="24"/>
          <w:szCs w:val="24"/>
        </w:rPr>
        <w:t>.</w:t>
      </w:r>
    </w:p>
    <w:p w:rsidR="00CB7236" w:rsidRPr="009B21DE" w:rsidRDefault="00022521" w:rsidP="006F746C">
      <w:pPr>
        <w:jc w:val="both"/>
        <w:rPr>
          <w:rFonts w:ascii="Times New Roman" w:hAnsi="Times New Roman" w:cs="Times New Roman"/>
          <w:sz w:val="24"/>
          <w:szCs w:val="24"/>
        </w:rPr>
      </w:pPr>
      <w:r w:rsidRPr="00EF0D85">
        <w:rPr>
          <w:rFonts w:ascii="Times New Roman" w:hAnsi="Times New Roman" w:cs="Times New Roman"/>
          <w:b/>
          <w:sz w:val="24"/>
          <w:szCs w:val="24"/>
        </w:rPr>
        <w:t>2.2. Parāda maksājumi</w:t>
      </w:r>
      <w:r>
        <w:rPr>
          <w:rFonts w:ascii="Times New Roman" w:hAnsi="Times New Roman" w:cs="Times New Roman"/>
          <w:sz w:val="24"/>
          <w:szCs w:val="24"/>
        </w:rPr>
        <w:t xml:space="preserve"> (aizņēmumu</w:t>
      </w:r>
      <w:r w:rsidR="00991C27" w:rsidRPr="009B21DE">
        <w:rPr>
          <w:rFonts w:ascii="Times New Roman" w:hAnsi="Times New Roman" w:cs="Times New Roman"/>
          <w:sz w:val="24"/>
          <w:szCs w:val="24"/>
        </w:rPr>
        <w:t xml:space="preserve"> apkalpošana un proc</w:t>
      </w:r>
      <w:r w:rsidR="003933F9" w:rsidRPr="009B21DE">
        <w:rPr>
          <w:rFonts w:ascii="Times New Roman" w:hAnsi="Times New Roman" w:cs="Times New Roman"/>
          <w:sz w:val="24"/>
          <w:szCs w:val="24"/>
        </w:rPr>
        <w:t>entu</w:t>
      </w:r>
      <w:r w:rsidR="00AF303A" w:rsidRPr="009B21DE">
        <w:rPr>
          <w:rFonts w:ascii="Times New Roman" w:hAnsi="Times New Roman" w:cs="Times New Roman"/>
          <w:sz w:val="24"/>
          <w:szCs w:val="24"/>
        </w:rPr>
        <w:t xml:space="preserve"> izdevumi) ir plānoti </w:t>
      </w:r>
      <w:r w:rsidR="006E6C3D">
        <w:rPr>
          <w:rFonts w:ascii="Times New Roman" w:hAnsi="Times New Roman" w:cs="Times New Roman"/>
          <w:sz w:val="24"/>
          <w:szCs w:val="24"/>
        </w:rPr>
        <w:t>72 00</w:t>
      </w:r>
      <w:r w:rsidR="00CB7236" w:rsidRPr="009B21DE">
        <w:rPr>
          <w:rFonts w:ascii="Times New Roman" w:hAnsi="Times New Roman" w:cs="Times New Roman"/>
          <w:sz w:val="24"/>
          <w:szCs w:val="24"/>
        </w:rPr>
        <w:t xml:space="preserve"> </w:t>
      </w:r>
      <w:r w:rsidR="00EF0D85">
        <w:rPr>
          <w:rFonts w:ascii="Times New Roman" w:hAnsi="Times New Roman" w:cs="Times New Roman"/>
          <w:sz w:val="24"/>
          <w:szCs w:val="24"/>
        </w:rPr>
        <w:t>EUR</w:t>
      </w:r>
      <w:r w:rsidR="00C84C37">
        <w:rPr>
          <w:rFonts w:ascii="Times New Roman" w:hAnsi="Times New Roman" w:cs="Times New Roman"/>
          <w:sz w:val="24"/>
          <w:szCs w:val="24"/>
        </w:rPr>
        <w:t xml:space="preserve">, kas ir par </w:t>
      </w:r>
      <w:r w:rsidR="006E6C3D">
        <w:rPr>
          <w:rFonts w:ascii="Times New Roman" w:hAnsi="Times New Roman" w:cs="Times New Roman"/>
          <w:sz w:val="24"/>
          <w:szCs w:val="24"/>
        </w:rPr>
        <w:t>20 267</w:t>
      </w:r>
      <w:r w:rsidR="00CB7236" w:rsidRPr="009B21DE">
        <w:rPr>
          <w:rFonts w:ascii="Times New Roman" w:hAnsi="Times New Roman" w:cs="Times New Roman"/>
          <w:sz w:val="24"/>
          <w:szCs w:val="24"/>
        </w:rPr>
        <w:t xml:space="preserve"> </w:t>
      </w:r>
      <w:r w:rsidR="00EF0D85">
        <w:rPr>
          <w:rFonts w:ascii="Times New Roman" w:hAnsi="Times New Roman" w:cs="Times New Roman"/>
          <w:sz w:val="24"/>
          <w:szCs w:val="24"/>
        </w:rPr>
        <w:t>EUR</w:t>
      </w:r>
      <w:r w:rsidR="00C84C37">
        <w:rPr>
          <w:rFonts w:ascii="Times New Roman" w:hAnsi="Times New Roman" w:cs="Times New Roman"/>
          <w:sz w:val="24"/>
          <w:szCs w:val="24"/>
        </w:rPr>
        <w:t xml:space="preserve"> mazāk</w:t>
      </w:r>
      <w:r w:rsidR="00CB7236" w:rsidRPr="009B21DE">
        <w:rPr>
          <w:rFonts w:ascii="Times New Roman" w:hAnsi="Times New Roman" w:cs="Times New Roman"/>
          <w:sz w:val="24"/>
          <w:szCs w:val="24"/>
        </w:rPr>
        <w:t xml:space="preserve"> </w:t>
      </w:r>
      <w:r w:rsidR="006E6C3D">
        <w:rPr>
          <w:rFonts w:ascii="Times New Roman" w:hAnsi="Times New Roman" w:cs="Times New Roman"/>
          <w:sz w:val="24"/>
          <w:szCs w:val="24"/>
        </w:rPr>
        <w:t>salīdzinājumā ar 2016</w:t>
      </w:r>
      <w:r w:rsidR="00CB7236" w:rsidRPr="009B21DE">
        <w:rPr>
          <w:rFonts w:ascii="Times New Roman" w:hAnsi="Times New Roman" w:cs="Times New Roman"/>
          <w:sz w:val="24"/>
          <w:szCs w:val="24"/>
        </w:rPr>
        <w:t>.</w:t>
      </w:r>
      <w:r w:rsidR="00C84C37">
        <w:rPr>
          <w:rFonts w:ascii="Times New Roman" w:hAnsi="Times New Roman" w:cs="Times New Roman"/>
          <w:sz w:val="24"/>
          <w:szCs w:val="24"/>
        </w:rPr>
        <w:t>gadu, jo ir samazinājušās procentu likmes un a</w:t>
      </w:r>
      <w:r w:rsidR="006E6C3D">
        <w:rPr>
          <w:rFonts w:ascii="Times New Roman" w:hAnsi="Times New Roman" w:cs="Times New Roman"/>
          <w:sz w:val="24"/>
          <w:szCs w:val="24"/>
        </w:rPr>
        <w:t>izņēmumu pamatsummas.</w:t>
      </w:r>
    </w:p>
    <w:p w:rsidR="000129FF" w:rsidRDefault="00367024" w:rsidP="006F746C">
      <w:pPr>
        <w:jc w:val="both"/>
        <w:rPr>
          <w:rFonts w:ascii="Times New Roman" w:hAnsi="Times New Roman" w:cs="Times New Roman"/>
          <w:sz w:val="24"/>
          <w:szCs w:val="24"/>
        </w:rPr>
      </w:pPr>
      <w:r w:rsidRPr="00EF0D85">
        <w:rPr>
          <w:rFonts w:ascii="Times New Roman" w:hAnsi="Times New Roman" w:cs="Times New Roman"/>
          <w:b/>
          <w:sz w:val="24"/>
          <w:szCs w:val="24"/>
        </w:rPr>
        <w:t>2.3. Sabiedriskā kārtība un drošība</w:t>
      </w:r>
      <w:r w:rsidRPr="009B21DE">
        <w:rPr>
          <w:rFonts w:ascii="Times New Roman" w:hAnsi="Times New Roman" w:cs="Times New Roman"/>
          <w:sz w:val="24"/>
          <w:szCs w:val="24"/>
        </w:rPr>
        <w:t xml:space="preserve">. Atbilstoši iedalījumam funkcionālajās kategorijās šos izdevumus veido pašvaldības policijas uzturēšana, videonovērošanas sistēmas </w:t>
      </w:r>
      <w:r w:rsidR="00A07A52">
        <w:rPr>
          <w:rFonts w:ascii="Times New Roman" w:hAnsi="Times New Roman" w:cs="Times New Roman"/>
          <w:sz w:val="24"/>
          <w:szCs w:val="24"/>
        </w:rPr>
        <w:t xml:space="preserve">ierīkošana, </w:t>
      </w:r>
      <w:r w:rsidRPr="009B21DE">
        <w:rPr>
          <w:rFonts w:ascii="Times New Roman" w:hAnsi="Times New Roman" w:cs="Times New Roman"/>
          <w:sz w:val="24"/>
          <w:szCs w:val="24"/>
        </w:rPr>
        <w:t xml:space="preserve">apkalpošana un </w:t>
      </w:r>
      <w:proofErr w:type="spellStart"/>
      <w:r w:rsidR="00EF0D85">
        <w:rPr>
          <w:rFonts w:ascii="Times New Roman" w:hAnsi="Times New Roman" w:cs="Times New Roman"/>
          <w:sz w:val="24"/>
          <w:szCs w:val="24"/>
        </w:rPr>
        <w:t>Melnezera</w:t>
      </w:r>
      <w:proofErr w:type="spellEnd"/>
      <w:r w:rsidR="00EF0D85">
        <w:rPr>
          <w:rFonts w:ascii="Times New Roman" w:hAnsi="Times New Roman" w:cs="Times New Roman"/>
          <w:sz w:val="24"/>
          <w:szCs w:val="24"/>
        </w:rPr>
        <w:t xml:space="preserve"> </w:t>
      </w:r>
      <w:r w:rsidR="00231002">
        <w:rPr>
          <w:rFonts w:ascii="Times New Roman" w:hAnsi="Times New Roman" w:cs="Times New Roman"/>
          <w:sz w:val="24"/>
          <w:szCs w:val="24"/>
        </w:rPr>
        <w:t xml:space="preserve">sabiedriskās pludmales </w:t>
      </w:r>
      <w:r w:rsidRPr="009B21DE">
        <w:rPr>
          <w:rFonts w:ascii="Times New Roman" w:hAnsi="Times New Roman" w:cs="Times New Roman"/>
          <w:sz w:val="24"/>
          <w:szCs w:val="24"/>
        </w:rPr>
        <w:t>u</w:t>
      </w:r>
      <w:r w:rsidR="009C407C">
        <w:rPr>
          <w:rFonts w:ascii="Times New Roman" w:hAnsi="Times New Roman" w:cs="Times New Roman"/>
          <w:sz w:val="24"/>
          <w:szCs w:val="24"/>
        </w:rPr>
        <w:t>zturēšana. Salīdzinājumā ar 2016.</w:t>
      </w:r>
      <w:r w:rsidR="00EF0D85">
        <w:rPr>
          <w:rFonts w:ascii="Times New Roman" w:hAnsi="Times New Roman" w:cs="Times New Roman"/>
          <w:sz w:val="24"/>
          <w:szCs w:val="24"/>
        </w:rPr>
        <w:t> g</w:t>
      </w:r>
      <w:r w:rsidR="00FA53A7" w:rsidRPr="009B21DE">
        <w:rPr>
          <w:rFonts w:ascii="Times New Roman" w:hAnsi="Times New Roman" w:cs="Times New Roman"/>
          <w:sz w:val="24"/>
          <w:szCs w:val="24"/>
        </w:rPr>
        <w:t>adu</w:t>
      </w:r>
      <w:r w:rsidR="00EF0D85">
        <w:rPr>
          <w:rFonts w:ascii="Times New Roman" w:hAnsi="Times New Roman" w:cs="Times New Roman"/>
          <w:sz w:val="24"/>
          <w:szCs w:val="24"/>
        </w:rPr>
        <w:t>,</w:t>
      </w:r>
      <w:r w:rsidR="00FA53A7" w:rsidRPr="009B21DE">
        <w:rPr>
          <w:rFonts w:ascii="Times New Roman" w:hAnsi="Times New Roman" w:cs="Times New Roman"/>
          <w:sz w:val="24"/>
          <w:szCs w:val="24"/>
        </w:rPr>
        <w:t xml:space="preserve"> i</w:t>
      </w:r>
      <w:r w:rsidR="006C6734">
        <w:rPr>
          <w:rFonts w:ascii="Times New Roman" w:hAnsi="Times New Roman" w:cs="Times New Roman"/>
          <w:sz w:val="24"/>
          <w:szCs w:val="24"/>
        </w:rPr>
        <w:t>z</w:t>
      </w:r>
      <w:r w:rsidR="009C407C">
        <w:rPr>
          <w:rFonts w:ascii="Times New Roman" w:hAnsi="Times New Roman" w:cs="Times New Roman"/>
          <w:sz w:val="24"/>
          <w:szCs w:val="24"/>
        </w:rPr>
        <w:t xml:space="preserve">devumi ir </w:t>
      </w:r>
      <w:r w:rsidR="009C407C" w:rsidRPr="00F075F5">
        <w:rPr>
          <w:rFonts w:ascii="Times New Roman" w:hAnsi="Times New Roman" w:cs="Times New Roman"/>
          <w:sz w:val="24"/>
          <w:szCs w:val="24"/>
        </w:rPr>
        <w:t>palielinājušies par 9</w:t>
      </w:r>
      <w:r w:rsidR="00165ECC" w:rsidRPr="00F075F5">
        <w:rPr>
          <w:rFonts w:ascii="Times New Roman" w:hAnsi="Times New Roman" w:cs="Times New Roman"/>
          <w:sz w:val="24"/>
          <w:szCs w:val="24"/>
        </w:rPr>
        <w:t xml:space="preserve">% </w:t>
      </w:r>
      <w:r w:rsidR="00FA53A7" w:rsidRPr="00F075F5">
        <w:rPr>
          <w:rFonts w:ascii="Times New Roman" w:hAnsi="Times New Roman" w:cs="Times New Roman"/>
          <w:sz w:val="24"/>
          <w:szCs w:val="24"/>
        </w:rPr>
        <w:t>(</w:t>
      </w:r>
      <w:r w:rsidR="009C407C" w:rsidRPr="00F075F5">
        <w:rPr>
          <w:rFonts w:ascii="Times New Roman" w:hAnsi="Times New Roman" w:cs="Times New Roman"/>
          <w:sz w:val="24"/>
          <w:szCs w:val="24"/>
        </w:rPr>
        <w:t>43 565</w:t>
      </w:r>
      <w:r w:rsidR="00FA53A7" w:rsidRPr="00F075F5">
        <w:rPr>
          <w:rFonts w:ascii="Times New Roman" w:hAnsi="Times New Roman" w:cs="Times New Roman"/>
          <w:sz w:val="24"/>
          <w:szCs w:val="24"/>
        </w:rPr>
        <w:t xml:space="preserve"> </w:t>
      </w:r>
      <w:r w:rsidR="00EF0D85">
        <w:rPr>
          <w:rFonts w:ascii="Times New Roman" w:hAnsi="Times New Roman" w:cs="Times New Roman"/>
          <w:sz w:val="24"/>
          <w:szCs w:val="24"/>
        </w:rPr>
        <w:t>EUR</w:t>
      </w:r>
      <w:r w:rsidR="000129FF">
        <w:rPr>
          <w:rFonts w:ascii="Times New Roman" w:hAnsi="Times New Roman" w:cs="Times New Roman"/>
          <w:sz w:val="24"/>
          <w:szCs w:val="24"/>
        </w:rPr>
        <w:t xml:space="preserve">). Plānotie pasākumi </w:t>
      </w:r>
      <w:r w:rsidR="00EF0D85">
        <w:rPr>
          <w:rFonts w:ascii="Times New Roman" w:hAnsi="Times New Roman" w:cs="Times New Roman"/>
          <w:sz w:val="24"/>
          <w:szCs w:val="24"/>
        </w:rPr>
        <w:t>–</w:t>
      </w:r>
      <w:r w:rsidR="00231002">
        <w:rPr>
          <w:rFonts w:ascii="Times New Roman" w:hAnsi="Times New Roman" w:cs="Times New Roman"/>
          <w:sz w:val="24"/>
          <w:szCs w:val="24"/>
        </w:rPr>
        <w:t xml:space="preserve"> </w:t>
      </w:r>
      <w:r w:rsidR="000129FF">
        <w:rPr>
          <w:rFonts w:ascii="Times New Roman" w:hAnsi="Times New Roman" w:cs="Times New Roman"/>
          <w:sz w:val="24"/>
          <w:szCs w:val="24"/>
        </w:rPr>
        <w:t>Tukuma pilsētā tiks ierīkota mobi</w:t>
      </w:r>
      <w:r w:rsidR="000129FF" w:rsidRPr="000129FF">
        <w:rPr>
          <w:rFonts w:ascii="Times New Roman" w:hAnsi="Times New Roman" w:cs="Times New Roman"/>
          <w:sz w:val="24"/>
          <w:szCs w:val="24"/>
        </w:rPr>
        <w:t xml:space="preserve">lā, </w:t>
      </w:r>
      <w:r w:rsidR="00EF0D85">
        <w:rPr>
          <w:rFonts w:ascii="Times New Roman" w:hAnsi="Times New Roman" w:cs="Times New Roman"/>
          <w:sz w:val="24"/>
          <w:szCs w:val="24"/>
        </w:rPr>
        <w:t>pārvietojamā novērošanas kamera</w:t>
      </w:r>
      <w:r w:rsidR="000129FF" w:rsidRPr="000129FF">
        <w:rPr>
          <w:rFonts w:ascii="Times New Roman" w:hAnsi="Times New Roman" w:cs="Times New Roman"/>
          <w:sz w:val="24"/>
          <w:szCs w:val="24"/>
        </w:rPr>
        <w:t xml:space="preserve"> dažādu pārkāpumu fiksēšanai, kā arī dažādu sabiedrisku pasākumu mobilai novērošanai.</w:t>
      </w:r>
      <w:r w:rsidR="000129FF">
        <w:rPr>
          <w:rFonts w:ascii="Times New Roman" w:hAnsi="Times New Roman" w:cs="Times New Roman"/>
          <w:sz w:val="24"/>
          <w:szCs w:val="24"/>
        </w:rPr>
        <w:t xml:space="preserve"> </w:t>
      </w:r>
      <w:r w:rsidR="000129FF" w:rsidRPr="000129FF">
        <w:rPr>
          <w:rFonts w:ascii="Times New Roman" w:hAnsi="Times New Roman" w:cs="Times New Roman"/>
          <w:sz w:val="24"/>
          <w:szCs w:val="24"/>
        </w:rPr>
        <w:t>Tiks uzsākta programma par pilsētas iebrauktuvju</w:t>
      </w:r>
      <w:r w:rsidR="00D45516">
        <w:rPr>
          <w:rFonts w:ascii="Times New Roman" w:hAnsi="Times New Roman" w:cs="Times New Roman"/>
          <w:sz w:val="24"/>
          <w:szCs w:val="24"/>
        </w:rPr>
        <w:t xml:space="preserve"> aprīkošanu ar automašīnas numura</w:t>
      </w:r>
      <w:r w:rsidR="00231002">
        <w:rPr>
          <w:rFonts w:ascii="Times New Roman" w:hAnsi="Times New Roman" w:cs="Times New Roman"/>
          <w:sz w:val="24"/>
          <w:szCs w:val="24"/>
        </w:rPr>
        <w:t xml:space="preserve"> a</w:t>
      </w:r>
      <w:r w:rsidR="000129FF" w:rsidRPr="000129FF">
        <w:rPr>
          <w:rFonts w:ascii="Times New Roman" w:hAnsi="Times New Roman" w:cs="Times New Roman"/>
          <w:sz w:val="24"/>
          <w:szCs w:val="24"/>
        </w:rPr>
        <w:t>tpazīšanas sistēmu.</w:t>
      </w:r>
      <w:r w:rsidR="00231002">
        <w:rPr>
          <w:rFonts w:ascii="Times New Roman" w:hAnsi="Times New Roman" w:cs="Times New Roman"/>
          <w:sz w:val="24"/>
          <w:szCs w:val="24"/>
        </w:rPr>
        <w:t xml:space="preserve"> </w:t>
      </w:r>
      <w:r w:rsidR="000129FF" w:rsidRPr="000129FF">
        <w:rPr>
          <w:rFonts w:ascii="Times New Roman" w:hAnsi="Times New Roman" w:cs="Times New Roman"/>
          <w:sz w:val="24"/>
          <w:szCs w:val="24"/>
        </w:rPr>
        <w:t>Tiks ierīkota videonovērošanas sistēma Durbes estrādē</w:t>
      </w:r>
      <w:r w:rsidR="00231002">
        <w:rPr>
          <w:rFonts w:ascii="Times New Roman" w:hAnsi="Times New Roman" w:cs="Times New Roman"/>
          <w:sz w:val="24"/>
          <w:szCs w:val="24"/>
        </w:rPr>
        <w:t xml:space="preserve"> un </w:t>
      </w:r>
      <w:r w:rsidR="000129FF" w:rsidRPr="000129FF">
        <w:rPr>
          <w:rFonts w:ascii="Times New Roman" w:hAnsi="Times New Roman" w:cs="Times New Roman"/>
          <w:sz w:val="24"/>
          <w:szCs w:val="24"/>
        </w:rPr>
        <w:t>ierīkota videonovērošanas sistēma un datu pārraides līnija Pūres ciemā.</w:t>
      </w:r>
      <w:r w:rsidR="00231002" w:rsidRPr="00231002">
        <w:rPr>
          <w:color w:val="1F497D"/>
        </w:rPr>
        <w:t xml:space="preserve"> </w:t>
      </w:r>
      <w:r w:rsidR="00231002" w:rsidRPr="00231002">
        <w:rPr>
          <w:rFonts w:ascii="Times New Roman" w:hAnsi="Times New Roman" w:cs="Times New Roman"/>
          <w:sz w:val="24"/>
          <w:szCs w:val="24"/>
        </w:rPr>
        <w:t xml:space="preserve">Visas sistēmas tiek </w:t>
      </w:r>
      <w:r w:rsidR="00231002" w:rsidRPr="00231002">
        <w:rPr>
          <w:rFonts w:ascii="Times New Roman" w:hAnsi="Times New Roman" w:cs="Times New Roman"/>
          <w:sz w:val="24"/>
          <w:szCs w:val="24"/>
        </w:rPr>
        <w:lastRenderedPageBreak/>
        <w:t>integrētas ar vienotā dispečeru dienesta sistēmām, kas paredz 24/7 monitoringu un operatīvās reaģēšanas spējas.</w:t>
      </w:r>
    </w:p>
    <w:p w:rsidR="00D60A81" w:rsidRDefault="0071020A" w:rsidP="006F746C">
      <w:pPr>
        <w:jc w:val="both"/>
        <w:rPr>
          <w:rFonts w:ascii="Times New Roman" w:hAnsi="Times New Roman" w:cs="Times New Roman"/>
          <w:b/>
          <w:bCs/>
          <w:sz w:val="24"/>
          <w:szCs w:val="24"/>
          <w:lang w:eastAsia="lv-LV"/>
        </w:rPr>
      </w:pPr>
      <w:r w:rsidRPr="00EF0D85">
        <w:rPr>
          <w:rFonts w:ascii="Times New Roman" w:hAnsi="Times New Roman" w:cs="Times New Roman"/>
          <w:b/>
          <w:sz w:val="24"/>
          <w:szCs w:val="24"/>
        </w:rPr>
        <w:t>2.4. Ekonomis</w:t>
      </w:r>
      <w:r w:rsidR="002F36D4" w:rsidRPr="00EF0D85">
        <w:rPr>
          <w:rFonts w:ascii="Times New Roman" w:hAnsi="Times New Roman" w:cs="Times New Roman"/>
          <w:b/>
          <w:sz w:val="24"/>
          <w:szCs w:val="24"/>
        </w:rPr>
        <w:t>kā darbība</w:t>
      </w:r>
      <w:r w:rsidR="002F36D4" w:rsidRPr="009B21DE">
        <w:rPr>
          <w:rFonts w:ascii="Times New Roman" w:hAnsi="Times New Roman" w:cs="Times New Roman"/>
          <w:sz w:val="24"/>
          <w:szCs w:val="24"/>
        </w:rPr>
        <w:t>.</w:t>
      </w:r>
      <w:r w:rsidRPr="009B21DE">
        <w:rPr>
          <w:rFonts w:ascii="Times New Roman" w:hAnsi="Times New Roman" w:cs="Times New Roman"/>
          <w:sz w:val="24"/>
          <w:szCs w:val="24"/>
        </w:rPr>
        <w:t xml:space="preserve"> Šīs sadaļas izdevumus veido ekonomiskās darbība</w:t>
      </w:r>
      <w:r w:rsidR="00322B80">
        <w:rPr>
          <w:rFonts w:ascii="Times New Roman" w:hAnsi="Times New Roman" w:cs="Times New Roman"/>
          <w:sz w:val="24"/>
          <w:szCs w:val="24"/>
        </w:rPr>
        <w:t>s atbalsts</w:t>
      </w:r>
      <w:r w:rsidRPr="009B21DE">
        <w:rPr>
          <w:rFonts w:ascii="Times New Roman" w:hAnsi="Times New Roman" w:cs="Times New Roman"/>
          <w:sz w:val="24"/>
          <w:szCs w:val="24"/>
        </w:rPr>
        <w:t xml:space="preserve"> tūrisma attīstībai novadā</w:t>
      </w:r>
      <w:r w:rsidR="00143C7A">
        <w:rPr>
          <w:rFonts w:ascii="Times New Roman" w:hAnsi="Times New Roman" w:cs="Times New Roman"/>
          <w:sz w:val="24"/>
          <w:szCs w:val="24"/>
        </w:rPr>
        <w:t xml:space="preserve"> un zīmola ieviešanas pasākumiem</w:t>
      </w:r>
      <w:r w:rsidRPr="009B21DE">
        <w:rPr>
          <w:rFonts w:ascii="Times New Roman" w:hAnsi="Times New Roman" w:cs="Times New Roman"/>
          <w:sz w:val="24"/>
          <w:szCs w:val="24"/>
        </w:rPr>
        <w:t xml:space="preserve"> (Tūrisma informācijas centrs</w:t>
      </w:r>
      <w:r w:rsidR="00143C7A">
        <w:rPr>
          <w:rFonts w:ascii="Times New Roman" w:hAnsi="Times New Roman" w:cs="Times New Roman"/>
          <w:sz w:val="24"/>
          <w:szCs w:val="24"/>
        </w:rPr>
        <w:t xml:space="preserve"> un Tukuma Zīmola pasākumi 159 367 </w:t>
      </w:r>
      <w:r w:rsidR="00322B80">
        <w:rPr>
          <w:rFonts w:ascii="Times New Roman" w:hAnsi="Times New Roman" w:cs="Times New Roman"/>
          <w:sz w:val="24"/>
          <w:szCs w:val="24"/>
        </w:rPr>
        <w:t>EUR).</w:t>
      </w:r>
      <w:r w:rsidRPr="009B21DE">
        <w:rPr>
          <w:rFonts w:ascii="Times New Roman" w:hAnsi="Times New Roman" w:cs="Times New Roman"/>
          <w:sz w:val="24"/>
          <w:szCs w:val="24"/>
        </w:rPr>
        <w:t xml:space="preserve"> </w:t>
      </w:r>
      <w:r w:rsidR="00322B80">
        <w:rPr>
          <w:rFonts w:ascii="Times New Roman" w:hAnsi="Times New Roman" w:cs="Times New Roman"/>
          <w:bCs/>
          <w:sz w:val="24"/>
          <w:szCs w:val="24"/>
          <w:lang w:eastAsia="lv-LV"/>
        </w:rPr>
        <w:t>Tūrisma informācijas centra</w:t>
      </w:r>
      <w:r w:rsidR="00391953" w:rsidRPr="00391953">
        <w:rPr>
          <w:rFonts w:ascii="Times New Roman" w:hAnsi="Times New Roman" w:cs="Times New Roman"/>
          <w:bCs/>
          <w:sz w:val="24"/>
          <w:szCs w:val="24"/>
          <w:lang w:eastAsia="lv-LV"/>
        </w:rPr>
        <w:t xml:space="preserve"> uzdevumi</w:t>
      </w:r>
      <w:r w:rsidR="00391953" w:rsidRPr="00391953">
        <w:rPr>
          <w:rFonts w:ascii="Times New Roman" w:hAnsi="Times New Roman" w:cs="Times New Roman"/>
          <w:b/>
          <w:bCs/>
          <w:sz w:val="24"/>
          <w:szCs w:val="24"/>
          <w:lang w:eastAsia="lv-LV"/>
        </w:rPr>
        <w:t xml:space="preserve"> </w:t>
      </w:r>
      <w:r w:rsidR="00322B80">
        <w:rPr>
          <w:rFonts w:ascii="Times New Roman" w:hAnsi="Times New Roman" w:cs="Times New Roman"/>
          <w:bCs/>
          <w:sz w:val="24"/>
          <w:szCs w:val="24"/>
          <w:lang w:eastAsia="lv-LV"/>
        </w:rPr>
        <w:t>2017.gadā –</w:t>
      </w:r>
      <w:r w:rsidR="00391953" w:rsidRPr="00391953">
        <w:rPr>
          <w:rFonts w:ascii="Times New Roman" w:hAnsi="Times New Roman" w:cs="Times New Roman"/>
          <w:b/>
          <w:bCs/>
          <w:sz w:val="24"/>
          <w:szCs w:val="24"/>
          <w:lang w:eastAsia="lv-LV"/>
        </w:rPr>
        <w:t xml:space="preserve"> </w:t>
      </w:r>
      <w:r w:rsidR="00391953" w:rsidRPr="00391953">
        <w:rPr>
          <w:rFonts w:ascii="Times New Roman" w:hAnsi="Times New Roman" w:cs="Times New Roman"/>
          <w:sz w:val="24"/>
          <w:szCs w:val="24"/>
          <w:lang w:eastAsia="lv-LV"/>
        </w:rPr>
        <w:t xml:space="preserve">sagatavoties 2017.gada aktīvajai tūrisma sezonai: jaunu tūrisma ceļvežu un karšu sagatavošana </w:t>
      </w:r>
      <w:proofErr w:type="gramStart"/>
      <w:r w:rsidR="00391953" w:rsidRPr="00391953">
        <w:rPr>
          <w:rFonts w:ascii="Times New Roman" w:hAnsi="Times New Roman" w:cs="Times New Roman"/>
          <w:sz w:val="24"/>
          <w:szCs w:val="24"/>
          <w:lang w:eastAsia="lv-LV"/>
        </w:rPr>
        <w:t>(</w:t>
      </w:r>
      <w:proofErr w:type="gramEnd"/>
      <w:r w:rsidR="00391953" w:rsidRPr="00391953">
        <w:rPr>
          <w:rFonts w:ascii="Times New Roman" w:hAnsi="Times New Roman" w:cs="Times New Roman"/>
          <w:sz w:val="24"/>
          <w:szCs w:val="24"/>
          <w:lang w:eastAsia="lv-LV"/>
        </w:rPr>
        <w:t xml:space="preserve">inovācija tajos – papildinātās realitātes iespēju izmantošana (video izvietošana un piedāvājums skatīties, izmantojot īpašas </w:t>
      </w:r>
      <w:r w:rsidR="00D45516">
        <w:rPr>
          <w:rFonts w:ascii="Times New Roman" w:hAnsi="Times New Roman" w:cs="Times New Roman"/>
          <w:sz w:val="24"/>
          <w:szCs w:val="24"/>
          <w:lang w:eastAsia="lv-LV"/>
        </w:rPr>
        <w:t>bezmaksas aplikācijas</w:t>
      </w:r>
      <w:r w:rsidR="00391953" w:rsidRPr="00391953">
        <w:rPr>
          <w:rFonts w:ascii="Times New Roman" w:hAnsi="Times New Roman" w:cs="Times New Roman"/>
          <w:sz w:val="24"/>
          <w:szCs w:val="24"/>
          <w:lang w:eastAsia="lv-LV"/>
        </w:rPr>
        <w:t>), gastronomiskā tūrisma</w:t>
      </w:r>
      <w:r w:rsidR="0079700A">
        <w:rPr>
          <w:rFonts w:ascii="Times New Roman" w:hAnsi="Times New Roman" w:cs="Times New Roman"/>
          <w:sz w:val="24"/>
          <w:szCs w:val="24"/>
          <w:lang w:eastAsia="lv-LV"/>
        </w:rPr>
        <w:t xml:space="preserve"> piedāvājuma popularizēšana (</w:t>
      </w:r>
      <w:r w:rsidR="00391953" w:rsidRPr="00391953">
        <w:rPr>
          <w:rFonts w:ascii="Times New Roman" w:hAnsi="Times New Roman" w:cs="Times New Roman"/>
          <w:sz w:val="24"/>
          <w:szCs w:val="24"/>
          <w:lang w:eastAsia="lv-LV"/>
        </w:rPr>
        <w:t>2017.gads ir gastronomiskā tūrisma gads Latvijā), Tukuma rožu maršruta izveidošana un popularizēšana.</w:t>
      </w:r>
      <w:r w:rsidR="00D60A81">
        <w:rPr>
          <w:rFonts w:ascii="Times New Roman" w:hAnsi="Times New Roman" w:cs="Times New Roman"/>
          <w:b/>
          <w:bCs/>
          <w:sz w:val="24"/>
          <w:szCs w:val="24"/>
          <w:lang w:eastAsia="lv-LV"/>
        </w:rPr>
        <w:t xml:space="preserve"> </w:t>
      </w:r>
    </w:p>
    <w:p w:rsidR="00391953" w:rsidRDefault="00D60A81" w:rsidP="006F746C">
      <w:pPr>
        <w:jc w:val="both"/>
        <w:rPr>
          <w:rFonts w:ascii="Times New Roman" w:hAnsi="Times New Roman" w:cs="Times New Roman"/>
          <w:sz w:val="24"/>
          <w:szCs w:val="24"/>
        </w:rPr>
      </w:pPr>
      <w:r w:rsidRPr="00D60A81">
        <w:rPr>
          <w:rFonts w:ascii="Times New Roman" w:hAnsi="Times New Roman" w:cs="Times New Roman"/>
          <w:bCs/>
          <w:sz w:val="24"/>
          <w:szCs w:val="24"/>
          <w:lang w:eastAsia="lv-LV"/>
        </w:rPr>
        <w:t>Plānotais</w:t>
      </w:r>
      <w:r>
        <w:rPr>
          <w:rFonts w:ascii="Times New Roman" w:hAnsi="Times New Roman" w:cs="Times New Roman"/>
          <w:b/>
          <w:bCs/>
          <w:sz w:val="24"/>
          <w:szCs w:val="24"/>
          <w:lang w:eastAsia="lv-LV"/>
        </w:rPr>
        <w:t xml:space="preserve"> </w:t>
      </w:r>
      <w:r w:rsidR="008A1021">
        <w:rPr>
          <w:rFonts w:ascii="Times New Roman" w:hAnsi="Times New Roman" w:cs="Times New Roman"/>
          <w:sz w:val="24"/>
          <w:szCs w:val="24"/>
        </w:rPr>
        <w:t>atbalsts uzņēmējdarbības veicināšanai</w:t>
      </w:r>
      <w:r w:rsidR="00143C7A">
        <w:rPr>
          <w:rFonts w:ascii="Times New Roman" w:hAnsi="Times New Roman" w:cs="Times New Roman"/>
          <w:sz w:val="24"/>
          <w:szCs w:val="24"/>
        </w:rPr>
        <w:t xml:space="preserve"> </w:t>
      </w:r>
      <w:r w:rsidR="0079700A">
        <w:rPr>
          <w:rFonts w:ascii="Times New Roman" w:hAnsi="Times New Roman" w:cs="Times New Roman"/>
          <w:sz w:val="24"/>
          <w:szCs w:val="24"/>
        </w:rPr>
        <w:t xml:space="preserve">un pasākumiem </w:t>
      </w:r>
      <w:r w:rsidR="00143C7A">
        <w:rPr>
          <w:rFonts w:ascii="Times New Roman" w:hAnsi="Times New Roman" w:cs="Times New Roman"/>
          <w:sz w:val="24"/>
          <w:szCs w:val="24"/>
        </w:rPr>
        <w:t xml:space="preserve">(17 000 </w:t>
      </w:r>
      <w:r w:rsidR="001345EA">
        <w:rPr>
          <w:rFonts w:ascii="Times New Roman" w:hAnsi="Times New Roman" w:cs="Times New Roman"/>
          <w:sz w:val="24"/>
          <w:szCs w:val="24"/>
        </w:rPr>
        <w:t>EUR</w:t>
      </w:r>
      <w:r w:rsidR="005C1B5F">
        <w:rPr>
          <w:rFonts w:ascii="Times New Roman" w:hAnsi="Times New Roman" w:cs="Times New Roman"/>
          <w:i/>
          <w:sz w:val="24"/>
          <w:szCs w:val="24"/>
        </w:rPr>
        <w:t xml:space="preserve">, </w:t>
      </w:r>
      <w:r w:rsidR="005C1B5F" w:rsidRPr="005C1B5F">
        <w:rPr>
          <w:rFonts w:ascii="Times New Roman" w:hAnsi="Times New Roman" w:cs="Times New Roman"/>
          <w:sz w:val="24"/>
          <w:szCs w:val="24"/>
        </w:rPr>
        <w:t>tai skaitā pašvaldības atbalsts uzņēmējiem</w:t>
      </w:r>
      <w:r w:rsidR="00781B6D">
        <w:rPr>
          <w:rFonts w:ascii="Times New Roman" w:hAnsi="Times New Roman" w:cs="Times New Roman"/>
          <w:sz w:val="24"/>
          <w:szCs w:val="24"/>
        </w:rPr>
        <w:t xml:space="preserve"> konkursam</w:t>
      </w:r>
      <w:r w:rsidR="005C1B5F" w:rsidRPr="005C1B5F">
        <w:rPr>
          <w:rFonts w:ascii="Times New Roman" w:hAnsi="Times New Roman" w:cs="Times New Roman"/>
          <w:sz w:val="24"/>
          <w:szCs w:val="24"/>
        </w:rPr>
        <w:t xml:space="preserve"> “Radi Tukumā” – 9000</w:t>
      </w:r>
      <w:r w:rsidR="001345EA">
        <w:rPr>
          <w:rFonts w:ascii="Times New Roman" w:hAnsi="Times New Roman" w:cs="Times New Roman"/>
          <w:i/>
          <w:sz w:val="24"/>
          <w:szCs w:val="24"/>
        </w:rPr>
        <w:t xml:space="preserve"> </w:t>
      </w:r>
      <w:r w:rsidR="001345EA">
        <w:rPr>
          <w:rFonts w:ascii="Times New Roman" w:hAnsi="Times New Roman" w:cs="Times New Roman"/>
          <w:sz w:val="24"/>
          <w:szCs w:val="24"/>
        </w:rPr>
        <w:t>EUR</w:t>
      </w:r>
      <w:r w:rsidR="00143C7A">
        <w:rPr>
          <w:rFonts w:ascii="Times New Roman" w:hAnsi="Times New Roman" w:cs="Times New Roman"/>
          <w:sz w:val="24"/>
          <w:szCs w:val="24"/>
        </w:rPr>
        <w:t>)</w:t>
      </w:r>
      <w:r w:rsidR="008A1021">
        <w:rPr>
          <w:rFonts w:ascii="Times New Roman" w:hAnsi="Times New Roman" w:cs="Times New Roman"/>
          <w:sz w:val="24"/>
          <w:szCs w:val="24"/>
        </w:rPr>
        <w:t>.</w:t>
      </w:r>
      <w:r w:rsidR="00B326EE" w:rsidRPr="009B21DE">
        <w:rPr>
          <w:rFonts w:ascii="Times New Roman" w:hAnsi="Times New Roman" w:cs="Times New Roman"/>
          <w:sz w:val="24"/>
          <w:szCs w:val="24"/>
        </w:rPr>
        <w:t xml:space="preserve"> </w:t>
      </w:r>
    </w:p>
    <w:p w:rsidR="00D60A81" w:rsidRPr="00A0138A" w:rsidRDefault="00D60A81" w:rsidP="006F746C">
      <w:pPr>
        <w:jc w:val="both"/>
        <w:rPr>
          <w:rFonts w:ascii="Times New Roman" w:hAnsi="Times New Roman" w:cs="Times New Roman"/>
          <w:sz w:val="24"/>
          <w:szCs w:val="24"/>
        </w:rPr>
      </w:pPr>
      <w:r>
        <w:rPr>
          <w:rFonts w:ascii="Times New Roman" w:hAnsi="Times New Roman" w:cs="Times New Roman"/>
          <w:sz w:val="24"/>
          <w:szCs w:val="24"/>
        </w:rPr>
        <w:t>Pašvaldības ceļu, ielu infrastruktūras s</w:t>
      </w:r>
      <w:r w:rsidR="00DD2E65">
        <w:rPr>
          <w:rFonts w:ascii="Times New Roman" w:hAnsi="Times New Roman" w:cs="Times New Roman"/>
          <w:sz w:val="24"/>
          <w:szCs w:val="24"/>
        </w:rPr>
        <w:t>akārtošanai plānoti 881 792 EUR</w:t>
      </w:r>
      <w:r>
        <w:rPr>
          <w:rFonts w:ascii="Times New Roman" w:hAnsi="Times New Roman" w:cs="Times New Roman"/>
          <w:sz w:val="24"/>
          <w:szCs w:val="24"/>
        </w:rPr>
        <w:t>. Lielākie darbi Tukuma pilsētā ar ES</w:t>
      </w:r>
      <w:r w:rsidR="00DD2E65">
        <w:rPr>
          <w:rFonts w:ascii="Times New Roman" w:hAnsi="Times New Roman" w:cs="Times New Roman"/>
          <w:sz w:val="24"/>
          <w:szCs w:val="24"/>
        </w:rPr>
        <w:t xml:space="preserve"> fondu finansējumu</w:t>
      </w:r>
      <w:r w:rsidR="002E14C2">
        <w:rPr>
          <w:rFonts w:ascii="Times New Roman" w:hAnsi="Times New Roman" w:cs="Times New Roman"/>
          <w:sz w:val="24"/>
          <w:szCs w:val="24"/>
        </w:rPr>
        <w:t xml:space="preserve"> ir Stacijas, </w:t>
      </w:r>
      <w:proofErr w:type="spellStart"/>
      <w:r w:rsidR="002E14C2">
        <w:rPr>
          <w:rFonts w:ascii="Times New Roman" w:hAnsi="Times New Roman" w:cs="Times New Roman"/>
          <w:sz w:val="24"/>
          <w:szCs w:val="24"/>
        </w:rPr>
        <w:t>Vilkājas</w:t>
      </w:r>
      <w:proofErr w:type="spellEnd"/>
      <w:r w:rsidR="002E14C2">
        <w:rPr>
          <w:rFonts w:ascii="Times New Roman" w:hAnsi="Times New Roman" w:cs="Times New Roman"/>
          <w:sz w:val="24"/>
          <w:szCs w:val="24"/>
        </w:rPr>
        <w:t>, Purva, Slocenes un Parādes ielu rekonstrukcija.</w:t>
      </w:r>
      <w:r w:rsidR="00BE69C5">
        <w:rPr>
          <w:rFonts w:ascii="Times New Roman" w:hAnsi="Times New Roman" w:cs="Times New Roman"/>
          <w:sz w:val="24"/>
          <w:szCs w:val="24"/>
        </w:rPr>
        <w:t xml:space="preserve"> Ar pašvaldības finansējumu </w:t>
      </w:r>
      <w:proofErr w:type="spellStart"/>
      <w:r w:rsidR="00BE69C5">
        <w:rPr>
          <w:rFonts w:ascii="Times New Roman" w:hAnsi="Times New Roman" w:cs="Times New Roman"/>
          <w:sz w:val="24"/>
          <w:szCs w:val="24"/>
        </w:rPr>
        <w:t>Jauntukuma</w:t>
      </w:r>
      <w:proofErr w:type="spellEnd"/>
      <w:r w:rsidR="00BE69C5">
        <w:rPr>
          <w:rFonts w:ascii="Times New Roman" w:hAnsi="Times New Roman" w:cs="Times New Roman"/>
          <w:sz w:val="24"/>
          <w:szCs w:val="24"/>
        </w:rPr>
        <w:t xml:space="preserve"> mikrorajonā tiks izbūvēts automašīnu stāvlaukums un gājēju ietve Alīnes ielā. </w:t>
      </w:r>
      <w:r w:rsidR="002E14C2">
        <w:rPr>
          <w:rFonts w:ascii="Times New Roman" w:hAnsi="Times New Roman" w:cs="Times New Roman"/>
          <w:sz w:val="24"/>
          <w:szCs w:val="24"/>
        </w:rPr>
        <w:t>Novada pagastos tiks izbūvētas grantētās ielas.</w:t>
      </w:r>
    </w:p>
    <w:p w:rsidR="00367024" w:rsidRPr="009B21DE" w:rsidRDefault="001A5F5C" w:rsidP="006F746C">
      <w:pPr>
        <w:jc w:val="both"/>
        <w:rPr>
          <w:rFonts w:ascii="Times New Roman" w:hAnsi="Times New Roman" w:cs="Times New Roman"/>
          <w:sz w:val="24"/>
          <w:szCs w:val="24"/>
        </w:rPr>
      </w:pPr>
      <w:r w:rsidRPr="00DD2E65">
        <w:rPr>
          <w:rFonts w:ascii="Times New Roman" w:hAnsi="Times New Roman" w:cs="Times New Roman"/>
          <w:b/>
          <w:sz w:val="24"/>
          <w:szCs w:val="24"/>
        </w:rPr>
        <w:t>2.5. Vides aizsa</w:t>
      </w:r>
      <w:r w:rsidR="005D7634" w:rsidRPr="00DD2E65">
        <w:rPr>
          <w:rFonts w:ascii="Times New Roman" w:hAnsi="Times New Roman" w:cs="Times New Roman"/>
          <w:b/>
          <w:sz w:val="24"/>
          <w:szCs w:val="24"/>
        </w:rPr>
        <w:t>rdzība</w:t>
      </w:r>
      <w:r w:rsidR="005D7634" w:rsidRPr="009B21DE">
        <w:rPr>
          <w:rFonts w:ascii="Times New Roman" w:hAnsi="Times New Roman" w:cs="Times New Roman"/>
          <w:sz w:val="24"/>
          <w:szCs w:val="24"/>
        </w:rPr>
        <w:t xml:space="preserve">. Plānotie līdzekļi </w:t>
      </w:r>
      <w:r w:rsidR="00D57CD2">
        <w:rPr>
          <w:rFonts w:ascii="Times New Roman" w:hAnsi="Times New Roman" w:cs="Times New Roman"/>
          <w:sz w:val="24"/>
          <w:szCs w:val="24"/>
        </w:rPr>
        <w:t>412 014</w:t>
      </w:r>
      <w:r w:rsidR="00721FA7" w:rsidRPr="009B21DE">
        <w:rPr>
          <w:rFonts w:ascii="Times New Roman" w:hAnsi="Times New Roman" w:cs="Times New Roman"/>
          <w:sz w:val="24"/>
          <w:szCs w:val="24"/>
        </w:rPr>
        <w:t xml:space="preserve"> </w:t>
      </w:r>
      <w:r w:rsidR="00DD2E65">
        <w:rPr>
          <w:rFonts w:ascii="Times New Roman" w:hAnsi="Times New Roman" w:cs="Times New Roman"/>
          <w:sz w:val="24"/>
          <w:szCs w:val="24"/>
        </w:rPr>
        <w:t>EUR</w:t>
      </w:r>
      <w:r w:rsidR="00CC0625">
        <w:rPr>
          <w:rFonts w:ascii="Times New Roman" w:hAnsi="Times New Roman" w:cs="Times New Roman"/>
          <w:i/>
          <w:sz w:val="24"/>
          <w:szCs w:val="24"/>
        </w:rPr>
        <w:t>.</w:t>
      </w:r>
      <w:r w:rsidRPr="009B21DE">
        <w:rPr>
          <w:rFonts w:ascii="Times New Roman" w:hAnsi="Times New Roman" w:cs="Times New Roman"/>
          <w:sz w:val="24"/>
          <w:szCs w:val="24"/>
        </w:rPr>
        <w:t xml:space="preserve"> Finansējums paredzēts – ielu, laukumu, parku un citu teritoriju tīrīšanai, atkritumu savākšana</w:t>
      </w:r>
      <w:r w:rsidR="00831B3A">
        <w:rPr>
          <w:rFonts w:ascii="Times New Roman" w:hAnsi="Times New Roman" w:cs="Times New Roman"/>
          <w:sz w:val="24"/>
          <w:szCs w:val="24"/>
        </w:rPr>
        <w:t>i</w:t>
      </w:r>
      <w:r w:rsidR="00045E9A">
        <w:rPr>
          <w:rFonts w:ascii="Times New Roman" w:hAnsi="Times New Roman" w:cs="Times New Roman"/>
          <w:sz w:val="24"/>
          <w:szCs w:val="24"/>
        </w:rPr>
        <w:t xml:space="preserve"> (364 596 </w:t>
      </w:r>
      <w:r w:rsidR="00DD2E65">
        <w:rPr>
          <w:rFonts w:ascii="Times New Roman" w:hAnsi="Times New Roman" w:cs="Times New Roman"/>
          <w:sz w:val="24"/>
          <w:szCs w:val="24"/>
        </w:rPr>
        <w:t>EUR</w:t>
      </w:r>
      <w:r w:rsidR="00045E9A">
        <w:rPr>
          <w:rFonts w:ascii="Times New Roman" w:hAnsi="Times New Roman" w:cs="Times New Roman"/>
          <w:sz w:val="24"/>
          <w:szCs w:val="24"/>
        </w:rPr>
        <w:t>)</w:t>
      </w:r>
      <w:r w:rsidR="00831B3A">
        <w:rPr>
          <w:rFonts w:ascii="Times New Roman" w:hAnsi="Times New Roman" w:cs="Times New Roman"/>
          <w:sz w:val="24"/>
          <w:szCs w:val="24"/>
        </w:rPr>
        <w:t>, notekūdeņu apsaimniekošanai</w:t>
      </w:r>
      <w:r w:rsidR="00B6492F">
        <w:rPr>
          <w:rFonts w:ascii="Times New Roman" w:hAnsi="Times New Roman" w:cs="Times New Roman"/>
          <w:sz w:val="24"/>
          <w:szCs w:val="24"/>
        </w:rPr>
        <w:t xml:space="preserve"> Pūres un Jaunsātu pagastu pārvaldē (47 418 </w:t>
      </w:r>
      <w:r w:rsidR="00DD2E65" w:rsidRPr="00DD2E65">
        <w:rPr>
          <w:rFonts w:ascii="Times New Roman" w:hAnsi="Times New Roman" w:cs="Times New Roman"/>
          <w:sz w:val="24"/>
          <w:szCs w:val="24"/>
        </w:rPr>
        <w:t>EUR</w:t>
      </w:r>
      <w:r w:rsidR="00B6492F">
        <w:rPr>
          <w:rFonts w:ascii="Times New Roman" w:hAnsi="Times New Roman" w:cs="Times New Roman"/>
          <w:sz w:val="24"/>
          <w:szCs w:val="24"/>
        </w:rPr>
        <w:t>)</w:t>
      </w:r>
      <w:r w:rsidR="00831B3A">
        <w:rPr>
          <w:rFonts w:ascii="Times New Roman" w:hAnsi="Times New Roman" w:cs="Times New Roman"/>
          <w:sz w:val="24"/>
          <w:szCs w:val="24"/>
        </w:rPr>
        <w:t>.</w:t>
      </w:r>
      <w:r w:rsidR="00D978E0">
        <w:rPr>
          <w:rFonts w:ascii="Times New Roman" w:hAnsi="Times New Roman" w:cs="Times New Roman"/>
          <w:sz w:val="24"/>
          <w:szCs w:val="24"/>
        </w:rPr>
        <w:t xml:space="preserve"> </w:t>
      </w:r>
    </w:p>
    <w:p w:rsidR="00781B6D" w:rsidRPr="00D94737" w:rsidRDefault="001A5F5C" w:rsidP="006F746C">
      <w:pPr>
        <w:jc w:val="both"/>
        <w:rPr>
          <w:rFonts w:ascii="Times New Roman" w:hAnsi="Times New Roman" w:cs="Times New Roman"/>
          <w:sz w:val="24"/>
          <w:szCs w:val="24"/>
        </w:rPr>
      </w:pPr>
      <w:r w:rsidRPr="00DC37C3">
        <w:rPr>
          <w:rFonts w:ascii="Times New Roman" w:hAnsi="Times New Roman" w:cs="Times New Roman"/>
          <w:b/>
          <w:sz w:val="24"/>
          <w:szCs w:val="24"/>
        </w:rPr>
        <w:t>2.6. Pašvaldību teritoriju un mājokļu apsaimniekošana</w:t>
      </w:r>
      <w:r w:rsidR="002F36D4" w:rsidRPr="00DC37C3">
        <w:rPr>
          <w:rFonts w:ascii="Times New Roman" w:hAnsi="Times New Roman" w:cs="Times New Roman"/>
          <w:b/>
          <w:sz w:val="24"/>
          <w:szCs w:val="24"/>
        </w:rPr>
        <w:t>i</w:t>
      </w:r>
      <w:r w:rsidR="002F36D4" w:rsidRPr="009B21DE">
        <w:rPr>
          <w:rFonts w:ascii="Times New Roman" w:hAnsi="Times New Roman" w:cs="Times New Roman"/>
          <w:sz w:val="24"/>
          <w:szCs w:val="24"/>
        </w:rPr>
        <w:t xml:space="preserve"> plānoti</w:t>
      </w:r>
      <w:r w:rsidR="001F6335" w:rsidRPr="009B21DE">
        <w:rPr>
          <w:rFonts w:ascii="Times New Roman" w:hAnsi="Times New Roman" w:cs="Times New Roman"/>
          <w:sz w:val="24"/>
          <w:szCs w:val="24"/>
        </w:rPr>
        <w:t xml:space="preserve"> līdzekļi</w:t>
      </w:r>
      <w:r w:rsidR="000600A4" w:rsidRPr="009B21DE">
        <w:rPr>
          <w:rFonts w:ascii="Times New Roman" w:hAnsi="Times New Roman" w:cs="Times New Roman"/>
          <w:sz w:val="24"/>
          <w:szCs w:val="24"/>
        </w:rPr>
        <w:t xml:space="preserve"> </w:t>
      </w:r>
      <w:r w:rsidR="00D57CD2">
        <w:rPr>
          <w:rFonts w:ascii="Times New Roman" w:hAnsi="Times New Roman" w:cs="Times New Roman"/>
          <w:sz w:val="24"/>
          <w:szCs w:val="24"/>
        </w:rPr>
        <w:t>2 446</w:t>
      </w:r>
      <w:r w:rsidR="00DC37C3">
        <w:rPr>
          <w:rFonts w:ascii="Times New Roman" w:hAnsi="Times New Roman" w:cs="Times New Roman"/>
          <w:sz w:val="24"/>
          <w:szCs w:val="24"/>
        </w:rPr>
        <w:t> </w:t>
      </w:r>
      <w:r w:rsidR="00D57CD2">
        <w:rPr>
          <w:rFonts w:ascii="Times New Roman" w:hAnsi="Times New Roman" w:cs="Times New Roman"/>
          <w:sz w:val="24"/>
          <w:szCs w:val="24"/>
        </w:rPr>
        <w:t>578</w:t>
      </w:r>
      <w:r w:rsidR="00DC37C3">
        <w:rPr>
          <w:rFonts w:ascii="Times New Roman" w:hAnsi="Times New Roman" w:cs="Times New Roman"/>
          <w:sz w:val="24"/>
          <w:szCs w:val="24"/>
        </w:rPr>
        <w:t xml:space="preserve"> EUR apmērā</w:t>
      </w:r>
      <w:r w:rsidR="002F36D4" w:rsidRPr="009B21DE">
        <w:rPr>
          <w:rFonts w:ascii="Times New Roman" w:hAnsi="Times New Roman" w:cs="Times New Roman"/>
          <w:sz w:val="24"/>
          <w:szCs w:val="24"/>
        </w:rPr>
        <w:t xml:space="preserve">. Šīs sadaļas izdevumi ir dzīvojamo un nedzīvojamo </w:t>
      </w:r>
      <w:r w:rsidR="0055078D" w:rsidRPr="009B21DE">
        <w:rPr>
          <w:rFonts w:ascii="Times New Roman" w:hAnsi="Times New Roman" w:cs="Times New Roman"/>
          <w:sz w:val="24"/>
          <w:szCs w:val="24"/>
        </w:rPr>
        <w:t>ēku apsaimniekošana un uzturēšana, apgaismošanas izdevumi, teritorijas uzturēšanas izdevumi (stādījumi, ziedi, pilsētas un pagastu dekorēša</w:t>
      </w:r>
      <w:r w:rsidR="00781B6D">
        <w:rPr>
          <w:rFonts w:ascii="Times New Roman" w:hAnsi="Times New Roman" w:cs="Times New Roman"/>
          <w:sz w:val="24"/>
          <w:szCs w:val="24"/>
        </w:rPr>
        <w:t xml:space="preserve">na, kāpņu, soliņu remonti utt.), kapu apsaimniekošana un dzīvnieku patversmes pakalpojumu pirkšana. </w:t>
      </w:r>
      <w:r w:rsidR="00DC37C3">
        <w:rPr>
          <w:rFonts w:ascii="Times New Roman" w:hAnsi="Times New Roman" w:cs="Times New Roman"/>
          <w:sz w:val="24"/>
          <w:szCs w:val="24"/>
        </w:rPr>
        <w:t>2016. </w:t>
      </w:r>
      <w:r w:rsidR="007D3E31">
        <w:rPr>
          <w:rFonts w:ascii="Times New Roman" w:hAnsi="Times New Roman" w:cs="Times New Roman"/>
          <w:sz w:val="24"/>
          <w:szCs w:val="24"/>
        </w:rPr>
        <w:t xml:space="preserve">gadā tika </w:t>
      </w:r>
      <w:r w:rsidR="00DC37C3">
        <w:rPr>
          <w:rFonts w:ascii="Times New Roman" w:hAnsi="Times New Roman" w:cs="Times New Roman"/>
          <w:sz w:val="24"/>
          <w:szCs w:val="24"/>
        </w:rPr>
        <w:t xml:space="preserve">pabeigti </w:t>
      </w:r>
      <w:r w:rsidR="00D45516">
        <w:rPr>
          <w:rFonts w:ascii="Times New Roman" w:hAnsi="Times New Roman" w:cs="Times New Roman"/>
          <w:sz w:val="24"/>
          <w:szCs w:val="24"/>
        </w:rPr>
        <w:t>Pilsēta</w:t>
      </w:r>
      <w:r w:rsidR="007D3E31">
        <w:rPr>
          <w:rFonts w:ascii="Times New Roman" w:hAnsi="Times New Roman" w:cs="Times New Roman"/>
          <w:sz w:val="24"/>
          <w:szCs w:val="24"/>
        </w:rPr>
        <w:t>s parka 1.kārta</w:t>
      </w:r>
      <w:r w:rsidR="00DC37C3">
        <w:rPr>
          <w:rFonts w:ascii="Times New Roman" w:hAnsi="Times New Roman" w:cs="Times New Roman"/>
          <w:sz w:val="24"/>
          <w:szCs w:val="24"/>
        </w:rPr>
        <w:t>s būvdarbi</w:t>
      </w:r>
      <w:r w:rsidR="007D3E31">
        <w:rPr>
          <w:rFonts w:ascii="Times New Roman" w:hAnsi="Times New Roman" w:cs="Times New Roman"/>
          <w:sz w:val="24"/>
          <w:szCs w:val="24"/>
        </w:rPr>
        <w:t>. Šogad darbi</w:t>
      </w:r>
      <w:r w:rsidR="00DC37C3">
        <w:rPr>
          <w:rFonts w:ascii="Times New Roman" w:hAnsi="Times New Roman" w:cs="Times New Roman"/>
          <w:sz w:val="24"/>
          <w:szCs w:val="24"/>
        </w:rPr>
        <w:t xml:space="preserve"> parkā</w:t>
      </w:r>
      <w:r w:rsidR="007D3E31">
        <w:rPr>
          <w:rFonts w:ascii="Times New Roman" w:hAnsi="Times New Roman" w:cs="Times New Roman"/>
          <w:sz w:val="24"/>
          <w:szCs w:val="24"/>
        </w:rPr>
        <w:t xml:space="preserve"> turpināsies un ir plānots</w:t>
      </w:r>
      <w:r w:rsidR="00806D97">
        <w:rPr>
          <w:rFonts w:ascii="Times New Roman" w:hAnsi="Times New Roman" w:cs="Times New Roman"/>
          <w:sz w:val="24"/>
          <w:szCs w:val="24"/>
        </w:rPr>
        <w:t xml:space="preserve"> </w:t>
      </w:r>
      <w:r w:rsidR="007D3E31">
        <w:rPr>
          <w:rFonts w:ascii="Times New Roman" w:hAnsi="Times New Roman" w:cs="Times New Roman"/>
          <w:sz w:val="24"/>
          <w:szCs w:val="24"/>
        </w:rPr>
        <w:t xml:space="preserve">izbūvēt </w:t>
      </w:r>
      <w:r w:rsidR="00806D97">
        <w:rPr>
          <w:rFonts w:ascii="Times New Roman" w:hAnsi="Times New Roman" w:cs="Times New Roman"/>
          <w:sz w:val="24"/>
          <w:szCs w:val="24"/>
        </w:rPr>
        <w:t xml:space="preserve">kafejnīcas telpas, nojumi un labierīcības (55 195 </w:t>
      </w:r>
      <w:r w:rsidR="00DC37C3">
        <w:rPr>
          <w:rFonts w:ascii="Times New Roman" w:hAnsi="Times New Roman" w:cs="Times New Roman"/>
          <w:sz w:val="24"/>
          <w:szCs w:val="24"/>
        </w:rPr>
        <w:t>EUR</w:t>
      </w:r>
      <w:r w:rsidR="00806D97">
        <w:rPr>
          <w:rFonts w:ascii="Times New Roman" w:hAnsi="Times New Roman" w:cs="Times New Roman"/>
          <w:sz w:val="24"/>
          <w:szCs w:val="24"/>
        </w:rPr>
        <w:t>).</w:t>
      </w:r>
      <w:r w:rsidR="006D0AFA">
        <w:rPr>
          <w:rFonts w:ascii="Times New Roman" w:hAnsi="Times New Roman" w:cs="Times New Roman"/>
          <w:sz w:val="24"/>
          <w:szCs w:val="24"/>
        </w:rPr>
        <w:t xml:space="preserve"> </w:t>
      </w:r>
      <w:r w:rsidR="00D45516">
        <w:rPr>
          <w:rFonts w:ascii="Times New Roman" w:hAnsi="Times New Roman" w:cs="Times New Roman"/>
          <w:sz w:val="24"/>
          <w:szCs w:val="24"/>
        </w:rPr>
        <w:t>Turpināsies ielu apgaismojuma izbūve</w:t>
      </w:r>
      <w:r w:rsidR="00474776">
        <w:rPr>
          <w:rFonts w:ascii="Times New Roman" w:hAnsi="Times New Roman" w:cs="Times New Roman"/>
          <w:sz w:val="24"/>
          <w:szCs w:val="24"/>
        </w:rPr>
        <w:t xml:space="preserve"> pilsētā un pagastos (pilsētā Alkšņu, Lapu, Ābeļu un L.Parka ielās), sadarbībā ar </w:t>
      </w:r>
      <w:r w:rsidR="00D45516">
        <w:rPr>
          <w:rFonts w:ascii="Times New Roman" w:hAnsi="Times New Roman" w:cs="Times New Roman"/>
          <w:sz w:val="24"/>
          <w:szCs w:val="24"/>
        </w:rPr>
        <w:t xml:space="preserve">AS “Sadales tīkli” </w:t>
      </w:r>
      <w:r w:rsidR="00474776">
        <w:rPr>
          <w:rFonts w:ascii="Times New Roman" w:hAnsi="Times New Roman" w:cs="Times New Roman"/>
          <w:sz w:val="24"/>
          <w:szCs w:val="24"/>
        </w:rPr>
        <w:t xml:space="preserve">plānots izbūvēt </w:t>
      </w:r>
      <w:r w:rsidR="00DC37C3">
        <w:rPr>
          <w:rFonts w:ascii="Times New Roman" w:hAnsi="Times New Roman" w:cs="Times New Roman"/>
          <w:sz w:val="24"/>
          <w:szCs w:val="24"/>
        </w:rPr>
        <w:t xml:space="preserve">apgaismojumu </w:t>
      </w:r>
      <w:r w:rsidR="00474776">
        <w:rPr>
          <w:rFonts w:ascii="Times New Roman" w:hAnsi="Times New Roman" w:cs="Times New Roman"/>
          <w:sz w:val="24"/>
          <w:szCs w:val="24"/>
        </w:rPr>
        <w:t xml:space="preserve">Saules, Ziemeļu, Priežu, Tilta un Papardes ielās. </w:t>
      </w:r>
      <w:r w:rsidR="00D45516">
        <w:rPr>
          <w:rFonts w:ascii="Times New Roman" w:hAnsi="Times New Roman" w:cs="Times New Roman"/>
          <w:sz w:val="24"/>
          <w:szCs w:val="24"/>
        </w:rPr>
        <w:t>T</w:t>
      </w:r>
      <w:r w:rsidR="005636A2">
        <w:rPr>
          <w:rFonts w:ascii="Times New Roman" w:hAnsi="Times New Roman" w:cs="Times New Roman"/>
          <w:sz w:val="24"/>
          <w:szCs w:val="24"/>
        </w:rPr>
        <w:t>ukumā t</w:t>
      </w:r>
      <w:r w:rsidR="00D45516">
        <w:rPr>
          <w:rFonts w:ascii="Times New Roman" w:hAnsi="Times New Roman" w:cs="Times New Roman"/>
          <w:sz w:val="24"/>
          <w:szCs w:val="24"/>
        </w:rPr>
        <w:t>iks uzsākta</w:t>
      </w:r>
      <w:r w:rsidR="00781B6D">
        <w:rPr>
          <w:rFonts w:ascii="Times New Roman" w:hAnsi="Times New Roman" w:cs="Times New Roman"/>
          <w:sz w:val="24"/>
          <w:szCs w:val="24"/>
        </w:rPr>
        <w:t xml:space="preserve"> A</w:t>
      </w:r>
      <w:r w:rsidR="00D45516">
        <w:rPr>
          <w:rFonts w:ascii="Times New Roman" w:hAnsi="Times New Roman" w:cs="Times New Roman"/>
          <w:sz w:val="24"/>
          <w:szCs w:val="24"/>
        </w:rPr>
        <w:t>.</w:t>
      </w:r>
      <w:r w:rsidR="005636A2">
        <w:rPr>
          <w:rFonts w:ascii="Times New Roman" w:hAnsi="Times New Roman" w:cs="Times New Roman"/>
          <w:sz w:val="24"/>
          <w:szCs w:val="24"/>
        </w:rPr>
        <w:t> </w:t>
      </w:r>
      <w:r w:rsidR="00D45516">
        <w:rPr>
          <w:rFonts w:ascii="Times New Roman" w:hAnsi="Times New Roman" w:cs="Times New Roman"/>
          <w:sz w:val="24"/>
          <w:szCs w:val="24"/>
        </w:rPr>
        <w:t>Z.</w:t>
      </w:r>
      <w:r w:rsidR="005636A2">
        <w:rPr>
          <w:rFonts w:ascii="Times New Roman" w:hAnsi="Times New Roman" w:cs="Times New Roman"/>
          <w:sz w:val="24"/>
          <w:szCs w:val="24"/>
        </w:rPr>
        <w:t> </w:t>
      </w:r>
      <w:r w:rsidR="00D45516">
        <w:rPr>
          <w:rFonts w:ascii="Times New Roman" w:hAnsi="Times New Roman" w:cs="Times New Roman"/>
          <w:sz w:val="24"/>
          <w:szCs w:val="24"/>
        </w:rPr>
        <w:t>Meierovica pieminekļa izbūve</w:t>
      </w:r>
      <w:r w:rsidR="005636A2">
        <w:rPr>
          <w:rFonts w:ascii="Times New Roman" w:hAnsi="Times New Roman" w:cs="Times New Roman"/>
          <w:sz w:val="24"/>
          <w:szCs w:val="24"/>
        </w:rPr>
        <w:t>s</w:t>
      </w:r>
      <w:r w:rsidR="00781B6D">
        <w:rPr>
          <w:rFonts w:ascii="Times New Roman" w:hAnsi="Times New Roman" w:cs="Times New Roman"/>
          <w:sz w:val="24"/>
          <w:szCs w:val="24"/>
        </w:rPr>
        <w:t xml:space="preserve"> </w:t>
      </w:r>
      <w:r w:rsidR="00AE58CA">
        <w:rPr>
          <w:rFonts w:ascii="Times New Roman" w:hAnsi="Times New Roman" w:cs="Times New Roman"/>
          <w:sz w:val="24"/>
          <w:szCs w:val="24"/>
        </w:rPr>
        <w:t xml:space="preserve">1.kārta, plānotais finansējums </w:t>
      </w:r>
      <w:r w:rsidR="00781B6D">
        <w:rPr>
          <w:rFonts w:ascii="Times New Roman" w:hAnsi="Times New Roman" w:cs="Times New Roman"/>
          <w:sz w:val="24"/>
          <w:szCs w:val="24"/>
        </w:rPr>
        <w:t xml:space="preserve">80 000 </w:t>
      </w:r>
      <w:r w:rsidR="005636A2">
        <w:rPr>
          <w:rFonts w:ascii="Times New Roman" w:hAnsi="Times New Roman" w:cs="Times New Roman"/>
          <w:sz w:val="24"/>
          <w:szCs w:val="24"/>
        </w:rPr>
        <w:t>EUR</w:t>
      </w:r>
      <w:r w:rsidR="00781B6D" w:rsidRPr="00781B6D">
        <w:rPr>
          <w:rFonts w:ascii="Times New Roman" w:hAnsi="Times New Roman" w:cs="Times New Roman"/>
          <w:i/>
          <w:sz w:val="24"/>
          <w:szCs w:val="24"/>
        </w:rPr>
        <w:t>.</w:t>
      </w:r>
      <w:r w:rsidR="005636A2">
        <w:rPr>
          <w:rFonts w:ascii="Times New Roman" w:hAnsi="Times New Roman" w:cs="Times New Roman"/>
          <w:i/>
          <w:sz w:val="24"/>
          <w:szCs w:val="24"/>
        </w:rPr>
        <w:t xml:space="preserve"> </w:t>
      </w:r>
    </w:p>
    <w:p w:rsidR="00E35C5A" w:rsidRDefault="00A11E8A" w:rsidP="00D24810">
      <w:pPr>
        <w:jc w:val="both"/>
        <w:rPr>
          <w:rFonts w:ascii="Times New Roman" w:hAnsi="Times New Roman" w:cs="Times New Roman"/>
          <w:sz w:val="24"/>
          <w:szCs w:val="24"/>
        </w:rPr>
      </w:pPr>
      <w:r w:rsidRPr="00E16308">
        <w:rPr>
          <w:rFonts w:ascii="Times New Roman" w:hAnsi="Times New Roman" w:cs="Times New Roman"/>
          <w:b/>
          <w:sz w:val="24"/>
          <w:szCs w:val="24"/>
        </w:rPr>
        <w:t>2.7. Veselības aprūp</w:t>
      </w:r>
      <w:r w:rsidR="00961386" w:rsidRPr="00E16308">
        <w:rPr>
          <w:rFonts w:ascii="Times New Roman" w:hAnsi="Times New Roman" w:cs="Times New Roman"/>
          <w:b/>
          <w:sz w:val="24"/>
          <w:szCs w:val="24"/>
        </w:rPr>
        <w:t>es atbalstam</w:t>
      </w:r>
      <w:r w:rsidR="00961386" w:rsidRPr="009B21DE">
        <w:rPr>
          <w:rFonts w:ascii="Times New Roman" w:hAnsi="Times New Roman" w:cs="Times New Roman"/>
          <w:sz w:val="24"/>
          <w:szCs w:val="24"/>
        </w:rPr>
        <w:t xml:space="preserve"> ieplānoti </w:t>
      </w:r>
      <w:r w:rsidR="00D57CD2">
        <w:rPr>
          <w:rFonts w:ascii="Times New Roman" w:hAnsi="Times New Roman" w:cs="Times New Roman"/>
          <w:sz w:val="24"/>
          <w:szCs w:val="24"/>
        </w:rPr>
        <w:t>151 870</w:t>
      </w:r>
      <w:r w:rsidR="00220766" w:rsidRPr="009B21DE">
        <w:rPr>
          <w:rFonts w:ascii="Times New Roman" w:hAnsi="Times New Roman" w:cs="Times New Roman"/>
          <w:sz w:val="24"/>
          <w:szCs w:val="24"/>
        </w:rPr>
        <w:t xml:space="preserve"> </w:t>
      </w:r>
      <w:r w:rsidR="00E16308" w:rsidRPr="00E16308">
        <w:rPr>
          <w:rFonts w:ascii="Times New Roman" w:hAnsi="Times New Roman" w:cs="Times New Roman"/>
          <w:sz w:val="24"/>
          <w:szCs w:val="24"/>
        </w:rPr>
        <w:t>EUR</w:t>
      </w:r>
      <w:r w:rsidR="00961386" w:rsidRPr="009B21DE">
        <w:rPr>
          <w:rFonts w:ascii="Times New Roman" w:hAnsi="Times New Roman" w:cs="Times New Roman"/>
          <w:sz w:val="24"/>
          <w:szCs w:val="24"/>
        </w:rPr>
        <w:t xml:space="preserve">. </w:t>
      </w:r>
      <w:r w:rsidR="00220766" w:rsidRPr="009B21DE">
        <w:rPr>
          <w:rFonts w:ascii="Times New Roman" w:hAnsi="Times New Roman" w:cs="Times New Roman"/>
          <w:sz w:val="24"/>
          <w:szCs w:val="24"/>
        </w:rPr>
        <w:t xml:space="preserve">Izdevumi plānoti pagastu </w:t>
      </w:r>
      <w:proofErr w:type="spellStart"/>
      <w:r w:rsidR="00220766" w:rsidRPr="009B21DE">
        <w:rPr>
          <w:rFonts w:ascii="Times New Roman" w:hAnsi="Times New Roman" w:cs="Times New Roman"/>
          <w:sz w:val="24"/>
          <w:szCs w:val="24"/>
        </w:rPr>
        <w:t>fe</w:t>
      </w:r>
      <w:r w:rsidR="00E35C5A">
        <w:rPr>
          <w:rFonts w:ascii="Times New Roman" w:hAnsi="Times New Roman" w:cs="Times New Roman"/>
          <w:sz w:val="24"/>
          <w:szCs w:val="24"/>
        </w:rPr>
        <w:t>ldšerpunktu</w:t>
      </w:r>
      <w:proofErr w:type="spellEnd"/>
      <w:r w:rsidR="00E35C5A">
        <w:rPr>
          <w:rFonts w:ascii="Times New Roman" w:hAnsi="Times New Roman" w:cs="Times New Roman"/>
          <w:sz w:val="24"/>
          <w:szCs w:val="24"/>
        </w:rPr>
        <w:t xml:space="preserve"> uzturēšanai un</w:t>
      </w:r>
      <w:r w:rsidR="00CC202D">
        <w:rPr>
          <w:rFonts w:ascii="Times New Roman" w:hAnsi="Times New Roman" w:cs="Times New Roman"/>
          <w:sz w:val="24"/>
          <w:szCs w:val="24"/>
        </w:rPr>
        <w:t xml:space="preserve"> </w:t>
      </w:r>
      <w:r w:rsidR="00EA635A">
        <w:rPr>
          <w:rFonts w:ascii="Times New Roman" w:hAnsi="Times New Roman" w:cs="Times New Roman"/>
          <w:sz w:val="24"/>
          <w:szCs w:val="24"/>
        </w:rPr>
        <w:t>pasākumi</w:t>
      </w:r>
      <w:r w:rsidR="00E16308">
        <w:rPr>
          <w:rFonts w:ascii="Times New Roman" w:hAnsi="Times New Roman" w:cs="Times New Roman"/>
          <w:sz w:val="24"/>
          <w:szCs w:val="24"/>
        </w:rPr>
        <w:t>em</w:t>
      </w:r>
      <w:r w:rsidR="00EA635A">
        <w:rPr>
          <w:rFonts w:ascii="Times New Roman" w:hAnsi="Times New Roman" w:cs="Times New Roman"/>
          <w:sz w:val="24"/>
          <w:szCs w:val="24"/>
        </w:rPr>
        <w:t xml:space="preserve"> ves</w:t>
      </w:r>
      <w:r w:rsidR="00E35C5A">
        <w:rPr>
          <w:rFonts w:ascii="Times New Roman" w:hAnsi="Times New Roman" w:cs="Times New Roman"/>
          <w:sz w:val="24"/>
          <w:szCs w:val="24"/>
        </w:rPr>
        <w:t>elības veicināšanai</w:t>
      </w:r>
      <w:r w:rsidR="0079150B">
        <w:rPr>
          <w:rFonts w:ascii="Times New Roman" w:hAnsi="Times New Roman" w:cs="Times New Roman"/>
          <w:sz w:val="24"/>
          <w:szCs w:val="24"/>
        </w:rPr>
        <w:t xml:space="preserve"> pašvaldībā ar projekta līdzekļiem</w:t>
      </w:r>
      <w:r w:rsidR="008906A6">
        <w:rPr>
          <w:rFonts w:ascii="Times New Roman" w:hAnsi="Times New Roman" w:cs="Times New Roman"/>
          <w:sz w:val="24"/>
          <w:szCs w:val="24"/>
        </w:rPr>
        <w:t xml:space="preserve"> (104 000 </w:t>
      </w:r>
      <w:r w:rsidR="00E16308">
        <w:rPr>
          <w:rFonts w:ascii="Times New Roman" w:hAnsi="Times New Roman" w:cs="Times New Roman"/>
          <w:sz w:val="24"/>
          <w:szCs w:val="24"/>
        </w:rPr>
        <w:t>EUR</w:t>
      </w:r>
      <w:r w:rsidR="008906A6">
        <w:rPr>
          <w:rFonts w:ascii="Times New Roman" w:hAnsi="Times New Roman" w:cs="Times New Roman"/>
          <w:sz w:val="24"/>
          <w:szCs w:val="24"/>
        </w:rPr>
        <w:t>)</w:t>
      </w:r>
      <w:r w:rsidR="0079150B" w:rsidRPr="0079150B">
        <w:rPr>
          <w:rFonts w:ascii="Times New Roman" w:hAnsi="Times New Roman" w:cs="Times New Roman"/>
          <w:sz w:val="24"/>
          <w:szCs w:val="24"/>
        </w:rPr>
        <w:t>. Projekta ietvaros tiks īstenoti dažādi veselību veicinoši un profilaktiski pasākumi: semināri un izglītojoši pasākumi par veselības tēmām skolēniem un Tukuma novada iedzīvotājiem (atkarību profilakse, veselīgs uzturs, seksuālās un reproduktīvā veselības veicināšana u.c.); krāsu terapijas nodarbīb</w:t>
      </w:r>
      <w:r w:rsidR="00E16308">
        <w:rPr>
          <w:rFonts w:ascii="Times New Roman" w:hAnsi="Times New Roman" w:cs="Times New Roman"/>
          <w:sz w:val="24"/>
          <w:szCs w:val="24"/>
        </w:rPr>
        <w:t>as; nometnes (garīgās veselības,</w:t>
      </w:r>
      <w:r w:rsidR="0079150B" w:rsidRPr="0079150B">
        <w:rPr>
          <w:rFonts w:ascii="Times New Roman" w:hAnsi="Times New Roman" w:cs="Times New Roman"/>
          <w:sz w:val="24"/>
          <w:szCs w:val="24"/>
        </w:rPr>
        <w:t xml:space="preserve"> veselīga uztura, personām ar invaliditāti un personām no trūcīgām ģimenēm nometnes); sporta veselības veicināšanas dienas bērnudārzos un pagastu iedzīvotājiem; sporta un veselības svētki; mobilitātes n</w:t>
      </w:r>
      <w:r w:rsidR="0079150B">
        <w:rPr>
          <w:rFonts w:ascii="Times New Roman" w:hAnsi="Times New Roman" w:cs="Times New Roman"/>
          <w:sz w:val="24"/>
          <w:szCs w:val="24"/>
        </w:rPr>
        <w:t xml:space="preserve">edēļa; </w:t>
      </w:r>
      <w:proofErr w:type="spellStart"/>
      <w:r w:rsidR="0079150B">
        <w:rPr>
          <w:rFonts w:ascii="Times New Roman" w:hAnsi="Times New Roman" w:cs="Times New Roman"/>
          <w:sz w:val="24"/>
          <w:szCs w:val="24"/>
        </w:rPr>
        <w:t>nūjošanas</w:t>
      </w:r>
      <w:proofErr w:type="spellEnd"/>
      <w:r w:rsidR="0079150B">
        <w:rPr>
          <w:rFonts w:ascii="Times New Roman" w:hAnsi="Times New Roman" w:cs="Times New Roman"/>
          <w:sz w:val="24"/>
          <w:szCs w:val="24"/>
        </w:rPr>
        <w:t>,</w:t>
      </w:r>
      <w:r w:rsidR="008906A6">
        <w:rPr>
          <w:rFonts w:ascii="Times New Roman" w:hAnsi="Times New Roman" w:cs="Times New Roman"/>
          <w:sz w:val="24"/>
          <w:szCs w:val="24"/>
        </w:rPr>
        <w:t xml:space="preserve"> </w:t>
      </w:r>
      <w:proofErr w:type="spellStart"/>
      <w:r w:rsidR="008906A6">
        <w:rPr>
          <w:rFonts w:ascii="Times New Roman" w:hAnsi="Times New Roman" w:cs="Times New Roman"/>
          <w:sz w:val="24"/>
          <w:szCs w:val="24"/>
        </w:rPr>
        <w:t>Cigun</w:t>
      </w:r>
      <w:proofErr w:type="spellEnd"/>
      <w:r w:rsidR="008906A6">
        <w:rPr>
          <w:rFonts w:ascii="Times New Roman" w:hAnsi="Times New Roman" w:cs="Times New Roman"/>
          <w:sz w:val="24"/>
          <w:szCs w:val="24"/>
        </w:rPr>
        <w:t xml:space="preserve">, peldēšanas </w:t>
      </w:r>
      <w:r w:rsidR="0079150B" w:rsidRPr="0079150B">
        <w:rPr>
          <w:rFonts w:ascii="Times New Roman" w:hAnsi="Times New Roman" w:cs="Times New Roman"/>
          <w:sz w:val="24"/>
          <w:szCs w:val="24"/>
        </w:rPr>
        <w:t>un orientēšanās nodarb</w:t>
      </w:r>
      <w:r w:rsidR="00E16308">
        <w:rPr>
          <w:rFonts w:ascii="Times New Roman" w:hAnsi="Times New Roman" w:cs="Times New Roman"/>
          <w:sz w:val="24"/>
          <w:szCs w:val="24"/>
        </w:rPr>
        <w:t>ības; ratiņdejas; pasākumi jaunajā</w:t>
      </w:r>
      <w:r w:rsidR="0079150B" w:rsidRPr="0079150B">
        <w:rPr>
          <w:rFonts w:ascii="Times New Roman" w:hAnsi="Times New Roman" w:cs="Times New Roman"/>
          <w:sz w:val="24"/>
          <w:szCs w:val="24"/>
        </w:rPr>
        <w:t>m un topoš</w:t>
      </w:r>
      <w:r w:rsidR="00E16308">
        <w:rPr>
          <w:rFonts w:ascii="Times New Roman" w:hAnsi="Times New Roman" w:cs="Times New Roman"/>
          <w:sz w:val="24"/>
          <w:szCs w:val="24"/>
        </w:rPr>
        <w:t>aj</w:t>
      </w:r>
      <w:r w:rsidR="0079150B" w:rsidRPr="0079150B">
        <w:rPr>
          <w:rFonts w:ascii="Times New Roman" w:hAnsi="Times New Roman" w:cs="Times New Roman"/>
          <w:sz w:val="24"/>
          <w:szCs w:val="24"/>
        </w:rPr>
        <w:t>ām māmiņām.</w:t>
      </w:r>
    </w:p>
    <w:p w:rsidR="00D24810" w:rsidRPr="000E1A5C" w:rsidRDefault="00D24810" w:rsidP="00D24810">
      <w:pPr>
        <w:jc w:val="both"/>
        <w:rPr>
          <w:rFonts w:ascii="Times New Roman" w:hAnsi="Times New Roman" w:cs="Times New Roman"/>
          <w:sz w:val="24"/>
          <w:szCs w:val="24"/>
        </w:rPr>
      </w:pPr>
      <w:r w:rsidRPr="00E16308">
        <w:rPr>
          <w:rFonts w:ascii="Times New Roman" w:hAnsi="Times New Roman" w:cs="Times New Roman"/>
          <w:b/>
          <w:sz w:val="24"/>
          <w:szCs w:val="24"/>
        </w:rPr>
        <w:t>2.8. Atpūta, kultūra un atbalsts biedrībām un nodibinājumiem</w:t>
      </w:r>
      <w:r w:rsidR="00EC2CBA" w:rsidRPr="009B21DE">
        <w:rPr>
          <w:rFonts w:ascii="Times New Roman" w:hAnsi="Times New Roman" w:cs="Times New Roman"/>
          <w:sz w:val="24"/>
          <w:szCs w:val="24"/>
        </w:rPr>
        <w:t xml:space="preserve">. Plānoti līdzekļi </w:t>
      </w:r>
      <w:r w:rsidR="003122A0">
        <w:rPr>
          <w:rFonts w:ascii="Times New Roman" w:hAnsi="Times New Roman" w:cs="Times New Roman"/>
          <w:sz w:val="24"/>
          <w:szCs w:val="24"/>
        </w:rPr>
        <w:t>3 455</w:t>
      </w:r>
      <w:r w:rsidR="00E16308">
        <w:rPr>
          <w:rFonts w:ascii="Times New Roman" w:hAnsi="Times New Roman" w:cs="Times New Roman"/>
          <w:sz w:val="24"/>
          <w:szCs w:val="24"/>
        </w:rPr>
        <w:t> </w:t>
      </w:r>
      <w:r w:rsidR="003122A0">
        <w:rPr>
          <w:rFonts w:ascii="Times New Roman" w:hAnsi="Times New Roman" w:cs="Times New Roman"/>
          <w:sz w:val="24"/>
          <w:szCs w:val="24"/>
        </w:rPr>
        <w:t>107</w:t>
      </w:r>
      <w:r w:rsidR="00E16308">
        <w:rPr>
          <w:rFonts w:ascii="Times New Roman" w:hAnsi="Times New Roman" w:cs="Times New Roman"/>
          <w:sz w:val="24"/>
          <w:szCs w:val="24"/>
        </w:rPr>
        <w:t xml:space="preserve"> EUR apmērā</w:t>
      </w:r>
      <w:r w:rsidR="00D15E57" w:rsidRPr="009B21DE">
        <w:rPr>
          <w:rFonts w:ascii="Times New Roman" w:hAnsi="Times New Roman" w:cs="Times New Roman"/>
          <w:sz w:val="24"/>
          <w:szCs w:val="24"/>
        </w:rPr>
        <w:t>.</w:t>
      </w:r>
      <w:r w:rsidR="004336A7" w:rsidRPr="009B21DE">
        <w:rPr>
          <w:rFonts w:ascii="Times New Roman" w:hAnsi="Times New Roman" w:cs="Times New Roman"/>
          <w:sz w:val="24"/>
          <w:szCs w:val="24"/>
        </w:rPr>
        <w:t xml:space="preserve"> </w:t>
      </w:r>
      <w:r w:rsidR="00A14C57">
        <w:rPr>
          <w:rFonts w:ascii="Times New Roman" w:hAnsi="Times New Roman" w:cs="Times New Roman"/>
          <w:sz w:val="24"/>
          <w:szCs w:val="24"/>
        </w:rPr>
        <w:t xml:space="preserve">Atbalsts sporta pasākumiem, </w:t>
      </w:r>
      <w:r w:rsidR="00B60226">
        <w:rPr>
          <w:rFonts w:ascii="Times New Roman" w:hAnsi="Times New Roman" w:cs="Times New Roman"/>
          <w:sz w:val="24"/>
          <w:szCs w:val="24"/>
        </w:rPr>
        <w:t>skolēniem slidot apmācībai</w:t>
      </w:r>
      <w:r w:rsidR="00B60226">
        <w:rPr>
          <w:rFonts w:ascii="Times New Roman" w:hAnsi="Times New Roman" w:cs="Times New Roman"/>
          <w:sz w:val="24"/>
          <w:szCs w:val="24"/>
        </w:rPr>
        <w:t>,</w:t>
      </w:r>
      <w:r w:rsidR="00B60226">
        <w:rPr>
          <w:rFonts w:ascii="Times New Roman" w:hAnsi="Times New Roman" w:cs="Times New Roman"/>
          <w:sz w:val="24"/>
          <w:szCs w:val="24"/>
        </w:rPr>
        <w:t xml:space="preserve"> </w:t>
      </w:r>
      <w:r w:rsidR="00A14C57">
        <w:rPr>
          <w:rFonts w:ascii="Times New Roman" w:hAnsi="Times New Roman" w:cs="Times New Roman"/>
          <w:sz w:val="24"/>
          <w:szCs w:val="24"/>
        </w:rPr>
        <w:t>sporta klubiem un sporta ies</w:t>
      </w:r>
      <w:r w:rsidR="00B60226">
        <w:rPr>
          <w:rFonts w:ascii="Times New Roman" w:hAnsi="Times New Roman" w:cs="Times New Roman"/>
          <w:sz w:val="24"/>
          <w:szCs w:val="24"/>
        </w:rPr>
        <w:t xml:space="preserve">tāžu uzturēšanai </w:t>
      </w:r>
      <w:r w:rsidR="00C50B3C">
        <w:rPr>
          <w:rFonts w:ascii="Times New Roman" w:hAnsi="Times New Roman" w:cs="Times New Roman"/>
          <w:sz w:val="24"/>
          <w:szCs w:val="24"/>
        </w:rPr>
        <w:t>plānots</w:t>
      </w:r>
      <w:r w:rsidR="00ED555F">
        <w:rPr>
          <w:rFonts w:ascii="Times New Roman" w:hAnsi="Times New Roman" w:cs="Times New Roman"/>
          <w:sz w:val="24"/>
          <w:szCs w:val="24"/>
        </w:rPr>
        <w:t xml:space="preserve"> </w:t>
      </w:r>
      <w:r w:rsidR="00C50B3C">
        <w:rPr>
          <w:rFonts w:ascii="Times New Roman" w:hAnsi="Times New Roman" w:cs="Times New Roman"/>
          <w:sz w:val="24"/>
          <w:szCs w:val="24"/>
        </w:rPr>
        <w:t xml:space="preserve">497 642 </w:t>
      </w:r>
      <w:r w:rsidR="00B60226">
        <w:rPr>
          <w:rFonts w:ascii="Times New Roman" w:hAnsi="Times New Roman" w:cs="Times New Roman"/>
          <w:sz w:val="24"/>
          <w:szCs w:val="24"/>
        </w:rPr>
        <w:t>EUR apmērā</w:t>
      </w:r>
      <w:r w:rsidR="00ED555F" w:rsidRPr="00E264A6">
        <w:rPr>
          <w:rFonts w:ascii="Times New Roman" w:hAnsi="Times New Roman" w:cs="Times New Roman"/>
          <w:i/>
          <w:sz w:val="24"/>
          <w:szCs w:val="24"/>
        </w:rPr>
        <w:t>.</w:t>
      </w:r>
      <w:r w:rsidR="00C50B3C">
        <w:rPr>
          <w:rFonts w:ascii="Times New Roman" w:hAnsi="Times New Roman" w:cs="Times New Roman"/>
          <w:sz w:val="24"/>
          <w:szCs w:val="24"/>
        </w:rPr>
        <w:t xml:space="preserve"> </w:t>
      </w:r>
      <w:r w:rsidR="00ED555F">
        <w:rPr>
          <w:rFonts w:ascii="Times New Roman" w:hAnsi="Times New Roman" w:cs="Times New Roman"/>
          <w:sz w:val="24"/>
          <w:szCs w:val="24"/>
        </w:rPr>
        <w:t>Kultūras iestāžu, muzeju, bibliotēku pasākumu un uz</w:t>
      </w:r>
      <w:r w:rsidR="00447498">
        <w:rPr>
          <w:rFonts w:ascii="Times New Roman" w:hAnsi="Times New Roman" w:cs="Times New Roman"/>
          <w:sz w:val="24"/>
          <w:szCs w:val="24"/>
        </w:rPr>
        <w:t>turēšanas izdevumiem plānoti</w:t>
      </w:r>
      <w:r w:rsidR="008B6E05">
        <w:rPr>
          <w:rFonts w:ascii="Times New Roman" w:hAnsi="Times New Roman" w:cs="Times New Roman"/>
          <w:sz w:val="24"/>
          <w:szCs w:val="24"/>
        </w:rPr>
        <w:t xml:space="preserve"> 2 813 934</w:t>
      </w:r>
      <w:r w:rsidR="00ED555F">
        <w:rPr>
          <w:rFonts w:ascii="Times New Roman" w:hAnsi="Times New Roman" w:cs="Times New Roman"/>
          <w:sz w:val="24"/>
          <w:szCs w:val="24"/>
        </w:rPr>
        <w:t xml:space="preserve"> </w:t>
      </w:r>
      <w:r w:rsidR="00447498">
        <w:rPr>
          <w:rFonts w:ascii="Times New Roman" w:hAnsi="Times New Roman" w:cs="Times New Roman"/>
          <w:sz w:val="24"/>
          <w:szCs w:val="24"/>
        </w:rPr>
        <w:t>EUR</w:t>
      </w:r>
      <w:r w:rsidR="00ED555F" w:rsidRPr="00E264A6">
        <w:rPr>
          <w:rFonts w:ascii="Times New Roman" w:hAnsi="Times New Roman" w:cs="Times New Roman"/>
          <w:i/>
          <w:sz w:val="24"/>
          <w:szCs w:val="24"/>
        </w:rPr>
        <w:t>,</w:t>
      </w:r>
      <w:r w:rsidR="00ED555F">
        <w:rPr>
          <w:rFonts w:ascii="Times New Roman" w:hAnsi="Times New Roman" w:cs="Times New Roman"/>
          <w:sz w:val="24"/>
          <w:szCs w:val="24"/>
        </w:rPr>
        <w:t xml:space="preserve"> tai skaitā Pilsētas svētkiem 85</w:t>
      </w:r>
      <w:r w:rsidR="00BE7298">
        <w:rPr>
          <w:rFonts w:ascii="Times New Roman" w:hAnsi="Times New Roman" w:cs="Times New Roman"/>
          <w:sz w:val="24"/>
          <w:szCs w:val="24"/>
        </w:rPr>
        <w:t> </w:t>
      </w:r>
      <w:r w:rsidR="00ED555F">
        <w:rPr>
          <w:rFonts w:ascii="Times New Roman" w:hAnsi="Times New Roman" w:cs="Times New Roman"/>
          <w:sz w:val="24"/>
          <w:szCs w:val="24"/>
        </w:rPr>
        <w:t>000</w:t>
      </w:r>
      <w:r w:rsidR="00BE7298">
        <w:rPr>
          <w:rFonts w:ascii="Times New Roman" w:hAnsi="Times New Roman" w:cs="Times New Roman"/>
          <w:sz w:val="24"/>
          <w:szCs w:val="24"/>
        </w:rPr>
        <w:t xml:space="preserve"> </w:t>
      </w:r>
      <w:r w:rsidR="00447498">
        <w:rPr>
          <w:rFonts w:ascii="Times New Roman" w:hAnsi="Times New Roman" w:cs="Times New Roman"/>
          <w:sz w:val="24"/>
          <w:szCs w:val="24"/>
        </w:rPr>
        <w:t xml:space="preserve">EUR, Latvijas </w:t>
      </w:r>
      <w:r w:rsidR="00447498">
        <w:rPr>
          <w:rFonts w:ascii="Times New Roman" w:hAnsi="Times New Roman" w:cs="Times New Roman"/>
          <w:sz w:val="24"/>
          <w:szCs w:val="24"/>
        </w:rPr>
        <w:lastRenderedPageBreak/>
        <w:t>simt</w:t>
      </w:r>
      <w:r w:rsidR="00ED555F">
        <w:rPr>
          <w:rFonts w:ascii="Times New Roman" w:hAnsi="Times New Roman" w:cs="Times New Roman"/>
          <w:sz w:val="24"/>
          <w:szCs w:val="24"/>
        </w:rPr>
        <w:t>gades programmai</w:t>
      </w:r>
      <w:r w:rsidR="00447498">
        <w:rPr>
          <w:rFonts w:ascii="Times New Roman" w:hAnsi="Times New Roman" w:cs="Times New Roman"/>
          <w:sz w:val="24"/>
          <w:szCs w:val="24"/>
        </w:rPr>
        <w:t xml:space="preserve"> –</w:t>
      </w:r>
      <w:r w:rsidR="00ED555F">
        <w:rPr>
          <w:rFonts w:ascii="Times New Roman" w:hAnsi="Times New Roman" w:cs="Times New Roman"/>
          <w:sz w:val="24"/>
          <w:szCs w:val="24"/>
        </w:rPr>
        <w:t xml:space="preserve"> 28 000 </w:t>
      </w:r>
      <w:r w:rsidR="00447498">
        <w:rPr>
          <w:rFonts w:ascii="Times New Roman" w:hAnsi="Times New Roman" w:cs="Times New Roman"/>
          <w:sz w:val="24"/>
          <w:szCs w:val="24"/>
        </w:rPr>
        <w:t>EUR</w:t>
      </w:r>
      <w:r w:rsidR="00144F94" w:rsidRPr="00E264A6">
        <w:rPr>
          <w:rFonts w:ascii="Times New Roman" w:hAnsi="Times New Roman" w:cs="Times New Roman"/>
          <w:i/>
          <w:sz w:val="24"/>
          <w:szCs w:val="24"/>
        </w:rPr>
        <w:t>.</w:t>
      </w:r>
      <w:r w:rsidR="00144F94">
        <w:rPr>
          <w:rFonts w:ascii="Times New Roman" w:hAnsi="Times New Roman" w:cs="Times New Roman"/>
          <w:sz w:val="24"/>
          <w:szCs w:val="24"/>
        </w:rPr>
        <w:t xml:space="preserve"> Atbalsts novada biedrību darbības nodrošināšanai</w:t>
      </w:r>
      <w:r w:rsidR="00ED555F">
        <w:rPr>
          <w:rFonts w:ascii="Times New Roman" w:hAnsi="Times New Roman" w:cs="Times New Roman"/>
          <w:sz w:val="24"/>
          <w:szCs w:val="24"/>
        </w:rPr>
        <w:t xml:space="preserve"> </w:t>
      </w:r>
      <w:r w:rsidR="00144F94">
        <w:rPr>
          <w:rFonts w:ascii="Times New Roman" w:hAnsi="Times New Roman" w:cs="Times New Roman"/>
          <w:sz w:val="24"/>
          <w:szCs w:val="24"/>
        </w:rPr>
        <w:t xml:space="preserve">plānots </w:t>
      </w:r>
      <w:r w:rsidR="00ED555F">
        <w:rPr>
          <w:rFonts w:ascii="Times New Roman" w:hAnsi="Times New Roman" w:cs="Times New Roman"/>
          <w:sz w:val="24"/>
          <w:szCs w:val="24"/>
        </w:rPr>
        <w:t xml:space="preserve">131 398 </w:t>
      </w:r>
      <w:r w:rsidR="00447498">
        <w:rPr>
          <w:rFonts w:ascii="Times New Roman" w:hAnsi="Times New Roman" w:cs="Times New Roman"/>
          <w:sz w:val="24"/>
          <w:szCs w:val="24"/>
        </w:rPr>
        <w:t>EUR apmērā</w:t>
      </w:r>
      <w:r w:rsidR="00E264A6">
        <w:rPr>
          <w:rFonts w:ascii="Times New Roman" w:hAnsi="Times New Roman" w:cs="Times New Roman"/>
          <w:sz w:val="24"/>
          <w:szCs w:val="24"/>
        </w:rPr>
        <w:t xml:space="preserve"> (neskaitot atlaides par telpu nomu un komunālajiem pakalpojumiem)</w:t>
      </w:r>
      <w:r w:rsidR="00447498">
        <w:rPr>
          <w:rFonts w:ascii="Times New Roman" w:hAnsi="Times New Roman" w:cs="Times New Roman"/>
          <w:sz w:val="24"/>
          <w:szCs w:val="24"/>
        </w:rPr>
        <w:t>.</w:t>
      </w:r>
    </w:p>
    <w:p w:rsidR="00CD4A2E" w:rsidRDefault="00CD4A2E" w:rsidP="00CD4A2E">
      <w:pPr>
        <w:jc w:val="both"/>
        <w:rPr>
          <w:rFonts w:ascii="Times New Roman" w:hAnsi="Times New Roman" w:cs="Times New Roman"/>
          <w:sz w:val="24"/>
          <w:szCs w:val="24"/>
        </w:rPr>
      </w:pPr>
      <w:r w:rsidRPr="0029244E">
        <w:rPr>
          <w:rFonts w:ascii="Times New Roman" w:hAnsi="Times New Roman" w:cs="Times New Roman"/>
          <w:b/>
          <w:sz w:val="24"/>
          <w:szCs w:val="24"/>
        </w:rPr>
        <w:t>2.9. Izglītība</w:t>
      </w:r>
      <w:r>
        <w:rPr>
          <w:rFonts w:ascii="Times New Roman" w:hAnsi="Times New Roman" w:cs="Times New Roman"/>
          <w:sz w:val="24"/>
          <w:szCs w:val="24"/>
        </w:rPr>
        <w:t>. Proporcionāli vislielākais finansējums ir izglītībai</w:t>
      </w:r>
      <w:r w:rsidR="002924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4A2E">
        <w:rPr>
          <w:rFonts w:ascii="Times New Roman" w:hAnsi="Times New Roman" w:cs="Times New Roman"/>
          <w:sz w:val="24"/>
          <w:szCs w:val="24"/>
        </w:rPr>
        <w:t>21 709</w:t>
      </w:r>
      <w:r w:rsidR="0029244E">
        <w:rPr>
          <w:rFonts w:ascii="Times New Roman" w:hAnsi="Times New Roman" w:cs="Times New Roman"/>
          <w:sz w:val="24"/>
          <w:szCs w:val="24"/>
        </w:rPr>
        <w:t> </w:t>
      </w:r>
      <w:r w:rsidRPr="00CD4A2E">
        <w:rPr>
          <w:rFonts w:ascii="Times New Roman" w:hAnsi="Times New Roman" w:cs="Times New Roman"/>
          <w:sz w:val="24"/>
          <w:szCs w:val="24"/>
        </w:rPr>
        <w:t>043</w:t>
      </w:r>
      <w:r w:rsidR="0029244E">
        <w:rPr>
          <w:rFonts w:ascii="Times New Roman" w:hAnsi="Times New Roman" w:cs="Times New Roman"/>
          <w:sz w:val="24"/>
          <w:szCs w:val="24"/>
        </w:rPr>
        <w:t xml:space="preserve"> EUR</w:t>
      </w:r>
      <w:r>
        <w:rPr>
          <w:rFonts w:ascii="Times New Roman" w:hAnsi="Times New Roman" w:cs="Times New Roman"/>
          <w:sz w:val="24"/>
          <w:szCs w:val="24"/>
        </w:rPr>
        <w:t xml:space="preserve"> (tai skaitā maksas pakalpojumi – </w:t>
      </w:r>
      <w:r w:rsidRPr="00CD4A2E">
        <w:rPr>
          <w:rFonts w:ascii="Times New Roman" w:hAnsi="Times New Roman" w:cs="Times New Roman"/>
          <w:bCs/>
          <w:color w:val="000000"/>
          <w:sz w:val="24"/>
          <w:szCs w:val="24"/>
        </w:rPr>
        <w:t>295</w:t>
      </w:r>
      <w:r w:rsidR="001C79D5">
        <w:rPr>
          <w:rFonts w:ascii="Times New Roman" w:hAnsi="Times New Roman" w:cs="Times New Roman"/>
          <w:bCs/>
          <w:color w:val="000000"/>
          <w:sz w:val="24"/>
          <w:szCs w:val="24"/>
        </w:rPr>
        <w:t xml:space="preserve"> </w:t>
      </w:r>
      <w:r w:rsidRPr="00CD4A2E">
        <w:rPr>
          <w:rFonts w:ascii="Times New Roman" w:hAnsi="Times New Roman" w:cs="Times New Roman"/>
          <w:bCs/>
          <w:color w:val="000000"/>
          <w:sz w:val="24"/>
          <w:szCs w:val="24"/>
        </w:rPr>
        <w:t>786</w:t>
      </w:r>
      <w:r w:rsidRPr="00CD4A2E">
        <w:rPr>
          <w:rFonts w:ascii="Times New Roman" w:hAnsi="Times New Roman" w:cs="Times New Roman"/>
          <w:sz w:val="24"/>
          <w:szCs w:val="24"/>
        </w:rPr>
        <w:t xml:space="preserve"> </w:t>
      </w:r>
      <w:r w:rsidR="0029244E">
        <w:rPr>
          <w:rFonts w:ascii="Times New Roman" w:hAnsi="Times New Roman" w:cs="Times New Roman"/>
          <w:iCs/>
          <w:sz w:val="24"/>
          <w:szCs w:val="24"/>
        </w:rPr>
        <w:t>EUR</w:t>
      </w:r>
      <w:r w:rsidRPr="00CD4A2E">
        <w:rPr>
          <w:rFonts w:ascii="Times New Roman" w:hAnsi="Times New Roman" w:cs="Times New Roman"/>
          <w:sz w:val="24"/>
          <w:szCs w:val="24"/>
        </w:rPr>
        <w:t xml:space="preserve">, valsts mērķdotācijas – </w:t>
      </w:r>
      <w:r w:rsidRPr="00CD4A2E">
        <w:rPr>
          <w:rFonts w:ascii="Times New Roman" w:hAnsi="Times New Roman" w:cs="Times New Roman"/>
          <w:bCs/>
          <w:color w:val="000000"/>
          <w:sz w:val="24"/>
          <w:szCs w:val="24"/>
        </w:rPr>
        <w:t>7 952 253</w:t>
      </w:r>
      <w:r>
        <w:rPr>
          <w:rFonts w:ascii="Times New Roman" w:hAnsi="Times New Roman" w:cs="Times New Roman"/>
          <w:color w:val="000000"/>
          <w:sz w:val="24"/>
          <w:szCs w:val="24"/>
        </w:rPr>
        <w:t xml:space="preserve"> </w:t>
      </w:r>
      <w:r w:rsidR="0029244E">
        <w:rPr>
          <w:rFonts w:ascii="Times New Roman" w:hAnsi="Times New Roman" w:cs="Times New Roman"/>
          <w:iCs/>
          <w:sz w:val="24"/>
          <w:szCs w:val="24"/>
        </w:rPr>
        <w:t>EUR</w:t>
      </w:r>
      <w:r w:rsidR="00620856" w:rsidRPr="0029244E">
        <w:rPr>
          <w:rFonts w:ascii="Times New Roman" w:hAnsi="Times New Roman" w:cs="Times New Roman"/>
          <w:iCs/>
          <w:sz w:val="24"/>
          <w:szCs w:val="24"/>
        </w:rPr>
        <w:t>)</w:t>
      </w:r>
      <w:r w:rsidR="001C79D5">
        <w:rPr>
          <w:rFonts w:ascii="Times New Roman" w:hAnsi="Times New Roman" w:cs="Times New Roman"/>
          <w:sz w:val="24"/>
          <w:szCs w:val="24"/>
        </w:rPr>
        <w:t xml:space="preserve">. </w:t>
      </w:r>
      <w:r>
        <w:rPr>
          <w:rFonts w:ascii="Times New Roman" w:hAnsi="Times New Roman" w:cs="Times New Roman"/>
          <w:sz w:val="24"/>
          <w:szCs w:val="24"/>
        </w:rPr>
        <w:t>Palielinājums kopumā</w:t>
      </w:r>
      <w:r w:rsidR="0029244E">
        <w:rPr>
          <w:rFonts w:ascii="Times New Roman" w:hAnsi="Times New Roman" w:cs="Times New Roman"/>
          <w:sz w:val="24"/>
          <w:szCs w:val="24"/>
        </w:rPr>
        <w:t xml:space="preserve"> ir</w:t>
      </w:r>
      <w:r>
        <w:rPr>
          <w:rFonts w:ascii="Times New Roman" w:hAnsi="Times New Roman" w:cs="Times New Roman"/>
          <w:sz w:val="24"/>
          <w:szCs w:val="24"/>
        </w:rPr>
        <w:t xml:space="preserve"> par </w:t>
      </w:r>
      <w:r w:rsidR="0029244E">
        <w:rPr>
          <w:rFonts w:ascii="Times New Roman" w:hAnsi="Times New Roman" w:cs="Times New Roman"/>
          <w:sz w:val="24"/>
          <w:szCs w:val="24"/>
        </w:rPr>
        <w:t>32,</w:t>
      </w:r>
      <w:r w:rsidRPr="00CD4A2E">
        <w:rPr>
          <w:rFonts w:ascii="Times New Roman" w:hAnsi="Times New Roman" w:cs="Times New Roman"/>
          <w:sz w:val="24"/>
          <w:szCs w:val="24"/>
        </w:rPr>
        <w:t xml:space="preserve">5 % (5 325 849 </w:t>
      </w:r>
      <w:r w:rsidR="0029244E">
        <w:rPr>
          <w:rFonts w:ascii="Times New Roman" w:hAnsi="Times New Roman" w:cs="Times New Roman"/>
          <w:iCs/>
          <w:sz w:val="24"/>
          <w:szCs w:val="24"/>
        </w:rPr>
        <w:t>EUR</w:t>
      </w:r>
      <w:r w:rsidRPr="0029244E">
        <w:rPr>
          <w:rFonts w:ascii="Times New Roman" w:hAnsi="Times New Roman" w:cs="Times New Roman"/>
          <w:iCs/>
          <w:sz w:val="24"/>
          <w:szCs w:val="24"/>
        </w:rPr>
        <w:t>).</w:t>
      </w:r>
      <w:r>
        <w:rPr>
          <w:rFonts w:ascii="Times New Roman" w:hAnsi="Times New Roman" w:cs="Times New Roman"/>
          <w:sz w:val="24"/>
          <w:szCs w:val="24"/>
        </w:rPr>
        <w:t xml:space="preserve"> 2017. gadā ir plānots pašvaldības līdzfinansējums skolēnu ēdināšanai skolās</w:t>
      </w:r>
      <w:r w:rsidR="00CD40A5">
        <w:rPr>
          <w:rFonts w:ascii="Times New Roman" w:hAnsi="Times New Roman" w:cs="Times New Roman"/>
          <w:sz w:val="24"/>
          <w:szCs w:val="24"/>
        </w:rPr>
        <w:t xml:space="preserve"> </w:t>
      </w:r>
      <w:r w:rsidR="0029244E" w:rsidRPr="0029244E">
        <w:rPr>
          <w:rFonts w:ascii="Times New Roman" w:hAnsi="Times New Roman" w:cs="Times New Roman"/>
          <w:b/>
          <w:bCs/>
          <w:sz w:val="24"/>
          <w:szCs w:val="24"/>
        </w:rPr>
        <w:t xml:space="preserve">– </w:t>
      </w:r>
      <w:r w:rsidRPr="00CD4A2E">
        <w:rPr>
          <w:rFonts w:ascii="Times New Roman" w:hAnsi="Times New Roman" w:cs="Times New Roman"/>
          <w:bCs/>
          <w:color w:val="000000"/>
          <w:sz w:val="24"/>
          <w:szCs w:val="24"/>
        </w:rPr>
        <w:t xml:space="preserve">0,57 </w:t>
      </w:r>
      <w:r w:rsidR="0029244E">
        <w:rPr>
          <w:rFonts w:ascii="Times New Roman" w:hAnsi="Times New Roman" w:cs="Times New Roman"/>
          <w:bCs/>
          <w:iCs/>
          <w:color w:val="000000"/>
          <w:sz w:val="24"/>
          <w:szCs w:val="24"/>
        </w:rPr>
        <w:t>EUR</w:t>
      </w:r>
      <w:r w:rsidR="00620856">
        <w:rPr>
          <w:rFonts w:ascii="Times New Roman" w:hAnsi="Times New Roman" w:cs="Times New Roman"/>
          <w:bCs/>
          <w:color w:val="000000"/>
          <w:sz w:val="24"/>
          <w:szCs w:val="24"/>
        </w:rPr>
        <w:t xml:space="preserve"> dienā vienam izglītojamajam</w:t>
      </w:r>
      <w:r w:rsidRPr="00CD4A2E">
        <w:rPr>
          <w:rFonts w:ascii="Times New Roman" w:hAnsi="Times New Roman" w:cs="Times New Roman"/>
          <w:bCs/>
          <w:color w:val="000000"/>
          <w:sz w:val="24"/>
          <w:szCs w:val="24"/>
        </w:rPr>
        <w:t xml:space="preserve"> un pirmsskolas izglītības iestādēs </w:t>
      </w:r>
      <w:r w:rsidR="0029244E">
        <w:rPr>
          <w:rFonts w:ascii="Times New Roman" w:hAnsi="Times New Roman" w:cs="Times New Roman"/>
          <w:bCs/>
          <w:color w:val="000000"/>
          <w:sz w:val="24"/>
          <w:szCs w:val="24"/>
        </w:rPr>
        <w:t xml:space="preserve">– </w:t>
      </w:r>
      <w:r w:rsidRPr="00CD4A2E">
        <w:rPr>
          <w:rFonts w:ascii="Times New Roman" w:hAnsi="Times New Roman" w:cs="Times New Roman"/>
          <w:bCs/>
          <w:color w:val="000000"/>
          <w:sz w:val="24"/>
          <w:szCs w:val="24"/>
        </w:rPr>
        <w:t xml:space="preserve">0,90 </w:t>
      </w:r>
      <w:r w:rsidR="0029244E">
        <w:rPr>
          <w:rFonts w:ascii="Times New Roman" w:hAnsi="Times New Roman" w:cs="Times New Roman"/>
          <w:bCs/>
          <w:color w:val="000000"/>
          <w:sz w:val="24"/>
          <w:szCs w:val="24"/>
        </w:rPr>
        <w:t>EUR</w:t>
      </w:r>
      <w:r w:rsidRPr="00CD4A2E">
        <w:rPr>
          <w:rFonts w:ascii="Times New Roman" w:hAnsi="Times New Roman" w:cs="Times New Roman"/>
          <w:bCs/>
          <w:color w:val="000000"/>
          <w:sz w:val="24"/>
          <w:szCs w:val="24"/>
        </w:rPr>
        <w:t xml:space="preserve"> dienā vienam audzēknim, daudzbērnu ģimenēm, ar celiakiju slimojošajiem un bērniem invalīdiem ir 79% atlaide ēdināšanai,</w:t>
      </w:r>
      <w:r w:rsidRPr="00B571DB">
        <w:rPr>
          <w:rFonts w:ascii="Times New Roman" w:hAnsi="Times New Roman" w:cs="Times New Roman"/>
          <w:sz w:val="24"/>
          <w:szCs w:val="24"/>
        </w:rPr>
        <w:t xml:space="preserve"> </w:t>
      </w:r>
      <w:r w:rsidR="00B571DB" w:rsidRPr="00B571DB">
        <w:rPr>
          <w:rFonts w:ascii="Times New Roman" w:hAnsi="Times New Roman" w:cs="Times New Roman"/>
          <w:sz w:val="24"/>
          <w:szCs w:val="24"/>
        </w:rPr>
        <w:t xml:space="preserve">plānots </w:t>
      </w:r>
      <w:r w:rsidRPr="00CD4A2E">
        <w:rPr>
          <w:rFonts w:ascii="Times New Roman" w:hAnsi="Times New Roman" w:cs="Times New Roman"/>
          <w:sz w:val="24"/>
          <w:szCs w:val="24"/>
        </w:rPr>
        <w:t>līdzfinansējums skolēnu ceļa izdevumu segšanai, lai apmeklētu izglītības</w:t>
      </w:r>
      <w:r w:rsidR="00B571DB">
        <w:rPr>
          <w:rFonts w:ascii="Times New Roman" w:hAnsi="Times New Roman" w:cs="Times New Roman"/>
          <w:sz w:val="24"/>
          <w:szCs w:val="24"/>
        </w:rPr>
        <w:t xml:space="preserve"> iestādes. A</w:t>
      </w:r>
      <w:r>
        <w:rPr>
          <w:rFonts w:ascii="Times New Roman" w:hAnsi="Times New Roman" w:cs="Times New Roman"/>
          <w:sz w:val="24"/>
          <w:szCs w:val="24"/>
        </w:rPr>
        <w:t>rī šogad tiek saglabāts atbalsts privātajai p</w:t>
      </w:r>
      <w:r w:rsidR="00B571DB">
        <w:rPr>
          <w:rFonts w:ascii="Times New Roman" w:hAnsi="Times New Roman" w:cs="Times New Roman"/>
          <w:sz w:val="24"/>
          <w:szCs w:val="24"/>
        </w:rPr>
        <w:t>irmsskolas izglītības iestādei “</w:t>
      </w:r>
      <w:r>
        <w:rPr>
          <w:rFonts w:ascii="Times New Roman" w:hAnsi="Times New Roman" w:cs="Times New Roman"/>
          <w:sz w:val="24"/>
          <w:szCs w:val="24"/>
        </w:rPr>
        <w:t xml:space="preserve">Ķipars” (uz 01.01.2016. iestādi apmeklēja </w:t>
      </w:r>
      <w:r w:rsidRPr="00CD4A2E">
        <w:rPr>
          <w:rFonts w:ascii="Times New Roman" w:hAnsi="Times New Roman" w:cs="Times New Roman"/>
          <w:bCs/>
          <w:color w:val="000000"/>
          <w:sz w:val="24"/>
          <w:szCs w:val="24"/>
        </w:rPr>
        <w:t>73</w:t>
      </w:r>
      <w:r w:rsidRPr="00CD4A2E">
        <w:rPr>
          <w:rFonts w:ascii="Times New Roman" w:hAnsi="Times New Roman" w:cs="Times New Roman"/>
          <w:sz w:val="24"/>
          <w:szCs w:val="24"/>
        </w:rPr>
        <w:t xml:space="preserve"> i</w:t>
      </w:r>
      <w:r w:rsidR="00B571DB">
        <w:rPr>
          <w:rFonts w:ascii="Times New Roman" w:hAnsi="Times New Roman" w:cs="Times New Roman"/>
          <w:sz w:val="24"/>
          <w:szCs w:val="24"/>
        </w:rPr>
        <w:t>zglītojamie no Tukuma novada),</w:t>
      </w:r>
      <w:r>
        <w:rPr>
          <w:rFonts w:ascii="Times New Roman" w:hAnsi="Times New Roman" w:cs="Times New Roman"/>
          <w:sz w:val="24"/>
          <w:szCs w:val="24"/>
        </w:rPr>
        <w:t xml:space="preserve"> 50% apmērā no pirmsskolas izglītības iestāžu vidējiem uzturēšanas izdevumiem finansiāls atbalsts ir Biedrībai “Tukuma Tautskola” (uz 01.01.2017. apmeklēja </w:t>
      </w:r>
      <w:r w:rsidRPr="00CD4A2E">
        <w:rPr>
          <w:rFonts w:ascii="Times New Roman" w:hAnsi="Times New Roman" w:cs="Times New Roman"/>
          <w:bCs/>
          <w:color w:val="000000"/>
          <w:sz w:val="24"/>
          <w:szCs w:val="24"/>
        </w:rPr>
        <w:t>20</w:t>
      </w:r>
      <w:r>
        <w:rPr>
          <w:rFonts w:ascii="Times New Roman" w:hAnsi="Times New Roman" w:cs="Times New Roman"/>
          <w:b/>
          <w:bCs/>
          <w:color w:val="000000"/>
          <w:sz w:val="24"/>
          <w:szCs w:val="24"/>
        </w:rPr>
        <w:t xml:space="preserve"> </w:t>
      </w:r>
      <w:r>
        <w:rPr>
          <w:rFonts w:ascii="Times New Roman" w:hAnsi="Times New Roman" w:cs="Times New Roman"/>
          <w:sz w:val="24"/>
          <w:szCs w:val="24"/>
        </w:rPr>
        <w:t>pirmsskolas vecuma izglītojamie) un auklīšu pakalpojumu izdevumu līdzfinansējuma segšanai (</w:t>
      </w:r>
      <w:r w:rsidRPr="00CD4A2E">
        <w:rPr>
          <w:rFonts w:ascii="Times New Roman" w:hAnsi="Times New Roman" w:cs="Times New Roman"/>
          <w:bCs/>
          <w:color w:val="000000"/>
          <w:sz w:val="24"/>
          <w:szCs w:val="24"/>
        </w:rPr>
        <w:t>181,17</w:t>
      </w:r>
      <w:r w:rsidR="00B571DB">
        <w:rPr>
          <w:rFonts w:ascii="Times New Roman" w:hAnsi="Times New Roman" w:cs="Times New Roman"/>
          <w:color w:val="000000"/>
          <w:sz w:val="24"/>
          <w:szCs w:val="24"/>
        </w:rPr>
        <w:t xml:space="preserve"> EUR</w:t>
      </w:r>
      <w:r>
        <w:rPr>
          <w:rFonts w:ascii="Times New Roman" w:hAnsi="Times New Roman" w:cs="Times New Roman"/>
          <w:sz w:val="24"/>
          <w:szCs w:val="24"/>
        </w:rPr>
        <w:t>). Plānoti izdevumi ir novada Jaunsargu darbības atbalstam Tukuma pilsētā un Zemgales viduss</w:t>
      </w:r>
      <w:r w:rsidR="00B571DB">
        <w:rPr>
          <w:rFonts w:ascii="Times New Roman" w:hAnsi="Times New Roman" w:cs="Times New Roman"/>
          <w:sz w:val="24"/>
          <w:szCs w:val="24"/>
        </w:rPr>
        <w:t>kolā, Profesiju dienas (februārī</w:t>
      </w:r>
      <w:r>
        <w:rPr>
          <w:rFonts w:ascii="Times New Roman" w:hAnsi="Times New Roman" w:cs="Times New Roman"/>
          <w:sz w:val="24"/>
          <w:szCs w:val="24"/>
        </w:rPr>
        <w:t xml:space="preserve">), </w:t>
      </w:r>
      <w:r w:rsidR="00B571DB">
        <w:rPr>
          <w:rFonts w:ascii="Times New Roman" w:hAnsi="Times New Roman" w:cs="Times New Roman"/>
          <w:sz w:val="24"/>
          <w:szCs w:val="24"/>
        </w:rPr>
        <w:t>Karjeras nedēļas (oktobrī</w:t>
      </w:r>
      <w:r>
        <w:rPr>
          <w:rFonts w:ascii="Times New Roman" w:hAnsi="Times New Roman" w:cs="Times New Roman"/>
          <w:sz w:val="24"/>
          <w:szCs w:val="24"/>
        </w:rPr>
        <w:t xml:space="preserve">) pasākumiem, kā arī pedagogu Metodisko dienu pasākumiem (skolēnu pavasara un rudens brīvlaikos). 2017.gadā ir saglabāts balvu fonds izglītojamajiem un viņu pedagogiem par augstiem sasniegumiem olimpiādēs, konkursos un skatēs, stipendijas sekmīgākajiem novada augstskolu 1.kursu studentiem, kā arī finansējums novadu labāko pedagogu apbalvošanai profesijas svētkos </w:t>
      </w:r>
      <w:r w:rsidR="00B571DB">
        <w:rPr>
          <w:rFonts w:ascii="Times New Roman" w:hAnsi="Times New Roman" w:cs="Times New Roman"/>
          <w:sz w:val="24"/>
          <w:szCs w:val="24"/>
        </w:rPr>
        <w:t>–</w:t>
      </w:r>
      <w:r>
        <w:rPr>
          <w:rFonts w:ascii="Times New Roman" w:hAnsi="Times New Roman" w:cs="Times New Roman"/>
          <w:sz w:val="24"/>
          <w:szCs w:val="24"/>
        </w:rPr>
        <w:t xml:space="preserve"> Skolotāju dienā. Finansējuma pieaugums</w:t>
      </w:r>
      <w:r>
        <w:rPr>
          <w:rFonts w:ascii="Times New Roman" w:hAnsi="Times New Roman" w:cs="Times New Roman"/>
          <w:color w:val="1F497D"/>
          <w:sz w:val="24"/>
          <w:szCs w:val="24"/>
        </w:rPr>
        <w:t xml:space="preserve"> </w:t>
      </w:r>
      <w:r w:rsidRPr="00CD4A2E">
        <w:rPr>
          <w:rFonts w:ascii="Times New Roman" w:hAnsi="Times New Roman" w:cs="Times New Roman"/>
          <w:bCs/>
          <w:color w:val="000000"/>
          <w:sz w:val="24"/>
          <w:szCs w:val="24"/>
        </w:rPr>
        <w:t>2017.gadā</w:t>
      </w:r>
      <w:r w:rsidRPr="00CD4A2E">
        <w:rPr>
          <w:rFonts w:ascii="Times New Roman" w:hAnsi="Times New Roman" w:cs="Times New Roman"/>
          <w:color w:val="000000"/>
          <w:sz w:val="24"/>
          <w:szCs w:val="24"/>
        </w:rPr>
        <w:t xml:space="preserve"> </w:t>
      </w:r>
      <w:r w:rsidRPr="00CD4A2E">
        <w:rPr>
          <w:rFonts w:ascii="Times New Roman" w:hAnsi="Times New Roman" w:cs="Times New Roman"/>
          <w:sz w:val="24"/>
          <w:szCs w:val="24"/>
        </w:rPr>
        <w:t>ir saistīts ar minimālās darba algas pieaugumu un algas pieaugumu pirmsskolas izglītības iestāžu pedagogiem</w:t>
      </w:r>
      <w:r w:rsidRPr="00CD4A2E">
        <w:rPr>
          <w:rFonts w:ascii="Times New Roman" w:hAnsi="Times New Roman" w:cs="Times New Roman"/>
          <w:color w:val="1F497D"/>
          <w:sz w:val="24"/>
          <w:szCs w:val="24"/>
        </w:rPr>
        <w:t xml:space="preserve">, </w:t>
      </w:r>
      <w:r w:rsidR="00B571DB">
        <w:rPr>
          <w:rFonts w:ascii="Times New Roman" w:hAnsi="Times New Roman" w:cs="Times New Roman"/>
          <w:bCs/>
          <w:color w:val="000000"/>
          <w:sz w:val="24"/>
          <w:szCs w:val="24"/>
        </w:rPr>
        <w:t>kā arī ar pirmsskolas izglītības iestādes</w:t>
      </w:r>
      <w:r w:rsidRPr="00CD4A2E">
        <w:rPr>
          <w:rFonts w:ascii="Times New Roman" w:hAnsi="Times New Roman" w:cs="Times New Roman"/>
          <w:bCs/>
          <w:color w:val="000000"/>
          <w:sz w:val="24"/>
          <w:szCs w:val="24"/>
        </w:rPr>
        <w:t xml:space="preserve"> </w:t>
      </w:r>
      <w:r w:rsidR="00B571DB">
        <w:rPr>
          <w:rFonts w:ascii="Times New Roman" w:hAnsi="Times New Roman" w:cs="Times New Roman"/>
          <w:bCs/>
          <w:color w:val="000000"/>
          <w:sz w:val="24"/>
          <w:szCs w:val="24"/>
        </w:rPr>
        <w:t>“</w:t>
      </w:r>
      <w:r w:rsidRPr="00CD4A2E">
        <w:rPr>
          <w:rFonts w:ascii="Times New Roman" w:hAnsi="Times New Roman" w:cs="Times New Roman"/>
          <w:bCs/>
          <w:color w:val="000000"/>
          <w:sz w:val="24"/>
          <w:szCs w:val="24"/>
        </w:rPr>
        <w:t>Taurenītis</w:t>
      </w:r>
      <w:r w:rsidR="00B571DB">
        <w:rPr>
          <w:rFonts w:ascii="Times New Roman" w:hAnsi="Times New Roman" w:cs="Times New Roman"/>
          <w:bCs/>
          <w:color w:val="000000"/>
          <w:sz w:val="24"/>
          <w:szCs w:val="24"/>
        </w:rPr>
        <w:t>”</w:t>
      </w:r>
      <w:r w:rsidRPr="00CD4A2E">
        <w:rPr>
          <w:rFonts w:ascii="Times New Roman" w:hAnsi="Times New Roman" w:cs="Times New Roman"/>
          <w:bCs/>
          <w:color w:val="000000"/>
          <w:sz w:val="24"/>
          <w:szCs w:val="24"/>
        </w:rPr>
        <w:t xml:space="preserve"> uzturēšanas izdevumu finansēšanu 70% apmērā</w:t>
      </w:r>
      <w:r w:rsidRPr="00CD4A2E">
        <w:rPr>
          <w:rFonts w:ascii="Times New Roman" w:hAnsi="Times New Roman" w:cs="Times New Roman"/>
          <w:sz w:val="24"/>
          <w:szCs w:val="24"/>
        </w:rPr>
        <w:t>.</w:t>
      </w:r>
      <w:r w:rsidRPr="00CD4A2E">
        <w:rPr>
          <w:rFonts w:ascii="Times New Roman" w:hAnsi="Times New Roman" w:cs="Times New Roman"/>
          <w:bCs/>
          <w:color w:val="000000"/>
          <w:sz w:val="24"/>
          <w:szCs w:val="24"/>
        </w:rPr>
        <w:t xml:space="preserve"> Ir paredzēts līdzfinansējums bērnu vasaras</w:t>
      </w:r>
      <w:r>
        <w:rPr>
          <w:rFonts w:ascii="Times New Roman" w:hAnsi="Times New Roman" w:cs="Times New Roman"/>
          <w:b/>
          <w:bCs/>
          <w:color w:val="000000"/>
          <w:sz w:val="24"/>
          <w:szCs w:val="24"/>
        </w:rPr>
        <w:t xml:space="preserve"> </w:t>
      </w:r>
      <w:r w:rsidRPr="00CD4A2E">
        <w:rPr>
          <w:rFonts w:ascii="Times New Roman" w:hAnsi="Times New Roman" w:cs="Times New Roman"/>
          <w:bCs/>
          <w:color w:val="000000"/>
          <w:sz w:val="24"/>
          <w:szCs w:val="24"/>
        </w:rPr>
        <w:t>nometnēm un piecu izglītības iestāžu jubileju pasākumiem.</w:t>
      </w:r>
      <w:r w:rsidRPr="00CD4A2E">
        <w:rPr>
          <w:rFonts w:ascii="Times New Roman" w:hAnsi="Times New Roman" w:cs="Times New Roman"/>
          <w:i/>
          <w:iCs/>
          <w:sz w:val="24"/>
          <w:szCs w:val="24"/>
        </w:rPr>
        <w:t xml:space="preserve"> </w:t>
      </w:r>
      <w:r w:rsidR="00B571DB">
        <w:rPr>
          <w:rFonts w:ascii="Times New Roman" w:hAnsi="Times New Roman" w:cs="Times New Roman"/>
          <w:sz w:val="24"/>
          <w:szCs w:val="24"/>
        </w:rPr>
        <w:t>2017. </w:t>
      </w:r>
      <w:r w:rsidRPr="00CD4A2E">
        <w:rPr>
          <w:rFonts w:ascii="Times New Roman" w:hAnsi="Times New Roman" w:cs="Times New Roman"/>
          <w:sz w:val="24"/>
          <w:szCs w:val="24"/>
        </w:rPr>
        <w:t>gadā ir plānots izbūvēt stadionu</w:t>
      </w:r>
      <w:r>
        <w:rPr>
          <w:rFonts w:ascii="Times New Roman" w:hAnsi="Times New Roman" w:cs="Times New Roman"/>
          <w:sz w:val="24"/>
          <w:szCs w:val="24"/>
        </w:rPr>
        <w:t xml:space="preserve"> un sporta zāli pie </w:t>
      </w:r>
      <w:r w:rsidR="00B571DB">
        <w:rPr>
          <w:rFonts w:ascii="Times New Roman" w:hAnsi="Times New Roman" w:cs="Times New Roman"/>
          <w:sz w:val="24"/>
          <w:szCs w:val="24"/>
        </w:rPr>
        <w:t xml:space="preserve">Tukuma </w:t>
      </w:r>
      <w:r>
        <w:rPr>
          <w:rFonts w:ascii="Times New Roman" w:hAnsi="Times New Roman" w:cs="Times New Roman"/>
          <w:sz w:val="24"/>
          <w:szCs w:val="24"/>
        </w:rPr>
        <w:t xml:space="preserve">3.pamatskolas </w:t>
      </w:r>
      <w:r w:rsidR="00620856">
        <w:rPr>
          <w:rFonts w:ascii="Times New Roman" w:hAnsi="Times New Roman" w:cs="Times New Roman"/>
          <w:sz w:val="24"/>
          <w:szCs w:val="24"/>
        </w:rPr>
        <w:t>p</w:t>
      </w:r>
      <w:r>
        <w:rPr>
          <w:rFonts w:ascii="Times New Roman" w:hAnsi="Times New Roman" w:cs="Times New Roman"/>
          <w:sz w:val="24"/>
          <w:szCs w:val="24"/>
        </w:rPr>
        <w:t>ar aizņēmuma</w:t>
      </w:r>
      <w:r w:rsidR="00CD40A5">
        <w:rPr>
          <w:rFonts w:ascii="Times New Roman" w:hAnsi="Times New Roman" w:cs="Times New Roman"/>
          <w:sz w:val="24"/>
          <w:szCs w:val="24"/>
        </w:rPr>
        <w:t xml:space="preserve"> un valsts budžeta dotāciju,</w:t>
      </w:r>
      <w:r>
        <w:rPr>
          <w:rFonts w:ascii="Times New Roman" w:hAnsi="Times New Roman" w:cs="Times New Roman"/>
          <w:sz w:val="24"/>
          <w:szCs w:val="24"/>
        </w:rPr>
        <w:t xml:space="preserve"> un veikt rekonstrukciju Tukuma 2.vidusskolā </w:t>
      </w:r>
      <w:r w:rsidR="00620856">
        <w:rPr>
          <w:rFonts w:ascii="Times New Roman" w:hAnsi="Times New Roman" w:cs="Times New Roman"/>
          <w:sz w:val="24"/>
          <w:szCs w:val="24"/>
        </w:rPr>
        <w:t>p</w:t>
      </w:r>
      <w:r>
        <w:rPr>
          <w:rFonts w:ascii="Times New Roman" w:hAnsi="Times New Roman" w:cs="Times New Roman"/>
          <w:sz w:val="24"/>
          <w:szCs w:val="24"/>
        </w:rPr>
        <w:t>ar aizņēmuma līdzekļiem</w:t>
      </w:r>
      <w:r>
        <w:rPr>
          <w:rFonts w:ascii="Times New Roman" w:hAnsi="Times New Roman" w:cs="Times New Roman"/>
          <w:color w:val="1F497D"/>
          <w:sz w:val="24"/>
          <w:szCs w:val="24"/>
        </w:rPr>
        <w:t>.</w:t>
      </w:r>
    </w:p>
    <w:p w:rsidR="009D6AF6" w:rsidRDefault="009C636C" w:rsidP="00D24810">
      <w:pPr>
        <w:jc w:val="both"/>
        <w:rPr>
          <w:rFonts w:ascii="Times New Roman" w:hAnsi="Times New Roman" w:cs="Times New Roman"/>
          <w:sz w:val="24"/>
          <w:szCs w:val="24"/>
        </w:rPr>
      </w:pPr>
      <w:r w:rsidRPr="00B571DB">
        <w:rPr>
          <w:rFonts w:ascii="Times New Roman" w:hAnsi="Times New Roman" w:cs="Times New Roman"/>
          <w:b/>
          <w:sz w:val="24"/>
          <w:szCs w:val="24"/>
        </w:rPr>
        <w:t>2.10.Sociālā palīdzība un sociālie pak</w:t>
      </w:r>
      <w:r w:rsidR="00083A9F" w:rsidRPr="00B571DB">
        <w:rPr>
          <w:rFonts w:ascii="Times New Roman" w:hAnsi="Times New Roman" w:cs="Times New Roman"/>
          <w:b/>
          <w:sz w:val="24"/>
          <w:szCs w:val="24"/>
        </w:rPr>
        <w:t>alpojumi</w:t>
      </w:r>
      <w:r w:rsidR="00083A9F">
        <w:rPr>
          <w:rFonts w:ascii="Times New Roman" w:hAnsi="Times New Roman" w:cs="Times New Roman"/>
          <w:sz w:val="24"/>
          <w:szCs w:val="24"/>
        </w:rPr>
        <w:t>. Plānotie līdzekļi 2017</w:t>
      </w:r>
      <w:r w:rsidR="003122A0">
        <w:rPr>
          <w:rFonts w:ascii="Times New Roman" w:hAnsi="Times New Roman" w:cs="Times New Roman"/>
          <w:sz w:val="24"/>
          <w:szCs w:val="24"/>
        </w:rPr>
        <w:t>.gadā ir 2 952 234</w:t>
      </w:r>
      <w:r w:rsidRPr="009C636C">
        <w:rPr>
          <w:rFonts w:ascii="Times New Roman" w:hAnsi="Times New Roman" w:cs="Times New Roman"/>
          <w:sz w:val="24"/>
          <w:szCs w:val="24"/>
        </w:rPr>
        <w:t xml:space="preserve"> </w:t>
      </w:r>
      <w:r w:rsidR="00B571DB">
        <w:rPr>
          <w:rFonts w:ascii="Times New Roman" w:hAnsi="Times New Roman" w:cs="Times New Roman"/>
          <w:sz w:val="24"/>
          <w:szCs w:val="24"/>
        </w:rPr>
        <w:t>EUR.</w:t>
      </w:r>
      <w:r w:rsidR="00AC083A">
        <w:rPr>
          <w:rFonts w:ascii="Times New Roman" w:hAnsi="Times New Roman" w:cs="Times New Roman"/>
          <w:i/>
          <w:sz w:val="24"/>
          <w:szCs w:val="24"/>
        </w:rPr>
        <w:t xml:space="preserve"> </w:t>
      </w:r>
      <w:r w:rsidR="00AC083A">
        <w:rPr>
          <w:rFonts w:ascii="Times New Roman" w:hAnsi="Times New Roman" w:cs="Times New Roman"/>
          <w:sz w:val="24"/>
          <w:szCs w:val="24"/>
        </w:rPr>
        <w:t>Ir atbalstīti vis</w:t>
      </w:r>
      <w:r w:rsidR="00B571DB">
        <w:rPr>
          <w:rFonts w:ascii="Times New Roman" w:hAnsi="Times New Roman" w:cs="Times New Roman"/>
          <w:sz w:val="24"/>
          <w:szCs w:val="24"/>
        </w:rPr>
        <w:t>i gada darbības plānā iekļautie</w:t>
      </w:r>
      <w:r w:rsidR="00AC083A">
        <w:rPr>
          <w:rFonts w:ascii="Times New Roman" w:hAnsi="Times New Roman" w:cs="Times New Roman"/>
          <w:sz w:val="24"/>
          <w:szCs w:val="24"/>
        </w:rPr>
        <w:t xml:space="preserve"> pakalpojumu sniedzēju pasākumi, lai pakalpojums tiktu nodrošināts augstā kvalitātē </w:t>
      </w:r>
      <w:r w:rsidR="00B571DB">
        <w:rPr>
          <w:rFonts w:ascii="Times New Roman" w:hAnsi="Times New Roman" w:cs="Times New Roman"/>
          <w:sz w:val="24"/>
          <w:szCs w:val="24"/>
        </w:rPr>
        <w:t>–</w:t>
      </w:r>
      <w:r w:rsidR="00AC083A">
        <w:rPr>
          <w:rFonts w:ascii="Times New Roman" w:hAnsi="Times New Roman" w:cs="Times New Roman"/>
          <w:sz w:val="24"/>
          <w:szCs w:val="24"/>
        </w:rPr>
        <w:t xml:space="preserve"> grupu darbi, radošās darbnīcas, nometnes, integrācijai sabiedrībā daž</w:t>
      </w:r>
      <w:r w:rsidR="00B571DB">
        <w:rPr>
          <w:rFonts w:ascii="Times New Roman" w:hAnsi="Times New Roman" w:cs="Times New Roman"/>
          <w:sz w:val="24"/>
          <w:szCs w:val="24"/>
        </w:rPr>
        <w:t>ādu pasākumu apmeklējumi. Par 4–5 EUR</w:t>
      </w:r>
      <w:r w:rsidR="00AC083A">
        <w:rPr>
          <w:rFonts w:ascii="Times New Roman" w:hAnsi="Times New Roman" w:cs="Times New Roman"/>
          <w:sz w:val="24"/>
          <w:szCs w:val="24"/>
        </w:rPr>
        <w:t xml:space="preserve"> ir paaugstinājies  slieksnis dzīvokļa pabalsta saņemšanai un pabalsta ģimenēm ar bērniem saņemšan</w:t>
      </w:r>
      <w:r w:rsidR="00B571DB">
        <w:rPr>
          <w:rFonts w:ascii="Times New Roman" w:hAnsi="Times New Roman" w:cs="Times New Roman"/>
          <w:sz w:val="24"/>
          <w:szCs w:val="24"/>
        </w:rPr>
        <w:t>ai (maznodrošinātā persona – 60</w:t>
      </w:r>
      <w:r w:rsidR="00AC083A">
        <w:rPr>
          <w:rFonts w:ascii="Times New Roman" w:hAnsi="Times New Roman" w:cs="Times New Roman"/>
          <w:sz w:val="24"/>
          <w:szCs w:val="24"/>
        </w:rPr>
        <w:t xml:space="preserve">% (228 </w:t>
      </w:r>
      <w:r w:rsidR="00B571DB" w:rsidRPr="00B571DB">
        <w:rPr>
          <w:rFonts w:ascii="Times New Roman" w:hAnsi="Times New Roman" w:cs="Times New Roman"/>
          <w:iCs/>
          <w:sz w:val="24"/>
          <w:szCs w:val="24"/>
        </w:rPr>
        <w:t>EUR</w:t>
      </w:r>
      <w:r w:rsidR="00AC083A">
        <w:rPr>
          <w:rFonts w:ascii="Times New Roman" w:hAnsi="Times New Roman" w:cs="Times New Roman"/>
          <w:sz w:val="24"/>
          <w:szCs w:val="24"/>
        </w:rPr>
        <w:t xml:space="preserve">)  līdz 70% (266 </w:t>
      </w:r>
      <w:r w:rsidR="00B571DB" w:rsidRPr="00B571DB">
        <w:rPr>
          <w:rFonts w:ascii="Times New Roman" w:hAnsi="Times New Roman" w:cs="Times New Roman"/>
          <w:iCs/>
          <w:sz w:val="24"/>
          <w:szCs w:val="24"/>
        </w:rPr>
        <w:t>EUR</w:t>
      </w:r>
      <w:r w:rsidR="00AC083A" w:rsidRPr="00B571DB">
        <w:rPr>
          <w:rFonts w:ascii="Times New Roman" w:hAnsi="Times New Roman" w:cs="Times New Roman"/>
          <w:iCs/>
          <w:sz w:val="24"/>
          <w:szCs w:val="24"/>
        </w:rPr>
        <w:t>)</w:t>
      </w:r>
      <w:r w:rsidR="00AC083A">
        <w:rPr>
          <w:rFonts w:ascii="Times New Roman" w:hAnsi="Times New Roman" w:cs="Times New Roman"/>
          <w:sz w:val="24"/>
          <w:szCs w:val="24"/>
        </w:rPr>
        <w:t xml:space="preserve"> no minimālās algas), palielinās arī iedzīvotāju piepra</w:t>
      </w:r>
      <w:r w:rsidR="00D03450">
        <w:rPr>
          <w:rFonts w:ascii="Times New Roman" w:hAnsi="Times New Roman" w:cs="Times New Roman"/>
          <w:sz w:val="24"/>
          <w:szCs w:val="24"/>
        </w:rPr>
        <w:t>sījums pēc dzīvokļa pabalsta. No 2017.gada</w:t>
      </w:r>
      <w:r w:rsidR="00AC083A">
        <w:rPr>
          <w:rFonts w:ascii="Times New Roman" w:hAnsi="Times New Roman" w:cs="Times New Roman"/>
          <w:sz w:val="24"/>
          <w:szCs w:val="24"/>
        </w:rPr>
        <w:t xml:space="preserve"> sociālā pakalpojuma “Aprūpe mājās” pakalpojuma sniegšana ir deleģēta biedrībai “Latvijas Samariešu apvienība”, tas ietekmē Tukuma novada sociālā dienesta strukturālās izmaiņas – iepriekšējos gados plānotās izmaksas aprūpētāju atlīdzībai tiek novirzītas sociālā pakalpojuma nodrošināšanai. Palielinās izmaksas pašvaldības pirktajiem pakalpojumiem – ilgstošas sociālās aprūpes un sociālās rehabilitācijas pakalpojumiem pansionātā “Rauda”, kas būtiski palielina budžeta plānu. Joprojām bez vecāku gādības palikušam bērnam prioritāri tiek nodrošināta aprūpe </w:t>
      </w:r>
      <w:r w:rsidR="00D03450">
        <w:rPr>
          <w:rFonts w:ascii="Times New Roman" w:hAnsi="Times New Roman" w:cs="Times New Roman"/>
          <w:sz w:val="24"/>
          <w:szCs w:val="24"/>
        </w:rPr>
        <w:t xml:space="preserve">pie </w:t>
      </w:r>
      <w:r w:rsidR="00AC083A">
        <w:rPr>
          <w:rFonts w:ascii="Times New Roman" w:hAnsi="Times New Roman" w:cs="Times New Roman"/>
          <w:sz w:val="24"/>
          <w:szCs w:val="24"/>
        </w:rPr>
        <w:t>aizbildņa vai audžuģimenē, pašvaldība iepriekšējo gadu līmenī ir paredzējusi finanšu l</w:t>
      </w:r>
      <w:r w:rsidR="00D03450">
        <w:rPr>
          <w:rFonts w:ascii="Times New Roman" w:hAnsi="Times New Roman" w:cs="Times New Roman"/>
          <w:sz w:val="24"/>
          <w:szCs w:val="24"/>
        </w:rPr>
        <w:t>īdzekļus bērna uzturam aizbildnim</w:t>
      </w:r>
      <w:r w:rsidR="00AC083A">
        <w:rPr>
          <w:rFonts w:ascii="Times New Roman" w:hAnsi="Times New Roman" w:cs="Times New Roman"/>
          <w:sz w:val="24"/>
          <w:szCs w:val="24"/>
        </w:rPr>
        <w:t xml:space="preserve"> un audžuģimenē. 2017. gadā plānots turpināt da</w:t>
      </w:r>
      <w:r w:rsidR="00B571DB">
        <w:rPr>
          <w:rFonts w:ascii="Times New Roman" w:hAnsi="Times New Roman" w:cs="Times New Roman"/>
          <w:sz w:val="24"/>
          <w:szCs w:val="24"/>
        </w:rPr>
        <w:t>lību ES struktūrfondu projektā “</w:t>
      </w:r>
      <w:proofErr w:type="spellStart"/>
      <w:r w:rsidR="00AC083A">
        <w:rPr>
          <w:rFonts w:ascii="Times New Roman" w:hAnsi="Times New Roman" w:cs="Times New Roman"/>
          <w:sz w:val="24"/>
          <w:szCs w:val="24"/>
        </w:rPr>
        <w:t>Deinstitucionalizācija</w:t>
      </w:r>
      <w:proofErr w:type="spellEnd"/>
      <w:r w:rsidR="00AC083A">
        <w:rPr>
          <w:rFonts w:ascii="Times New Roman" w:hAnsi="Times New Roman" w:cs="Times New Roman"/>
          <w:sz w:val="24"/>
          <w:szCs w:val="24"/>
        </w:rPr>
        <w:t xml:space="preserve"> un sociālie pakalpojumi personām ar invaliditāti un bērniem” un projektā “PROTI un DARI!”.</w:t>
      </w:r>
    </w:p>
    <w:p w:rsidR="00503108" w:rsidRDefault="00503108" w:rsidP="00D24810">
      <w:pPr>
        <w:jc w:val="both"/>
        <w:rPr>
          <w:rFonts w:ascii="Times New Roman" w:hAnsi="Times New Roman" w:cs="Times New Roman"/>
          <w:sz w:val="24"/>
          <w:szCs w:val="24"/>
        </w:rPr>
      </w:pPr>
    </w:p>
    <w:p w:rsidR="00503108" w:rsidRPr="00F55130" w:rsidRDefault="00503108" w:rsidP="00D24810">
      <w:pPr>
        <w:jc w:val="both"/>
        <w:rPr>
          <w:rFonts w:ascii="Times New Roman" w:hAnsi="Times New Roman" w:cs="Times New Roman"/>
          <w:i/>
          <w:sz w:val="24"/>
          <w:szCs w:val="24"/>
        </w:rPr>
      </w:pPr>
    </w:p>
    <w:p w:rsidR="00CD18CE" w:rsidRPr="009B21DE" w:rsidRDefault="00CD18CE" w:rsidP="00D24810">
      <w:pPr>
        <w:jc w:val="both"/>
        <w:rPr>
          <w:rFonts w:ascii="Times New Roman" w:hAnsi="Times New Roman" w:cs="Times New Roman"/>
          <w:b/>
          <w:sz w:val="24"/>
          <w:szCs w:val="24"/>
        </w:rPr>
      </w:pPr>
      <w:r w:rsidRPr="009B21DE">
        <w:rPr>
          <w:rFonts w:ascii="Times New Roman" w:hAnsi="Times New Roman" w:cs="Times New Roman"/>
          <w:b/>
          <w:sz w:val="24"/>
          <w:szCs w:val="24"/>
        </w:rPr>
        <w:lastRenderedPageBreak/>
        <w:t>Speciālais budžets</w:t>
      </w:r>
    </w:p>
    <w:p w:rsidR="009A0578" w:rsidRDefault="009A0578" w:rsidP="00D24810">
      <w:pPr>
        <w:jc w:val="both"/>
        <w:rPr>
          <w:rFonts w:ascii="Times New Roman" w:hAnsi="Times New Roman" w:cs="Times New Roman"/>
          <w:sz w:val="24"/>
          <w:szCs w:val="24"/>
        </w:rPr>
      </w:pPr>
      <w:r w:rsidRPr="009B21DE">
        <w:rPr>
          <w:rFonts w:ascii="Times New Roman" w:hAnsi="Times New Roman" w:cs="Times New Roman"/>
          <w:sz w:val="24"/>
          <w:szCs w:val="24"/>
        </w:rPr>
        <w:t>Tukuma novada pašvaldības speciālo budžetu veido Dabas resursu nodoklis un Autoceļa fonda ieņēmumi</w:t>
      </w:r>
      <w:r w:rsidR="00A70E7C" w:rsidRPr="009B21DE">
        <w:rPr>
          <w:rFonts w:ascii="Times New Roman" w:hAnsi="Times New Roman" w:cs="Times New Roman"/>
          <w:sz w:val="24"/>
          <w:szCs w:val="24"/>
        </w:rPr>
        <w:t xml:space="preserve">. Kopējie ieņēmumi ir </w:t>
      </w:r>
      <w:r w:rsidR="000332F2">
        <w:rPr>
          <w:rFonts w:ascii="Times New Roman" w:hAnsi="Times New Roman" w:cs="Times New Roman"/>
          <w:sz w:val="24"/>
          <w:szCs w:val="24"/>
        </w:rPr>
        <w:t>840 627</w:t>
      </w:r>
      <w:r w:rsidR="00664C66" w:rsidRPr="009B21DE">
        <w:rPr>
          <w:rFonts w:ascii="Times New Roman" w:hAnsi="Times New Roman" w:cs="Times New Roman"/>
          <w:sz w:val="24"/>
          <w:szCs w:val="24"/>
        </w:rPr>
        <w:t xml:space="preserve"> </w:t>
      </w:r>
      <w:r w:rsidR="00C16A88">
        <w:rPr>
          <w:rFonts w:ascii="Times New Roman" w:hAnsi="Times New Roman" w:cs="Times New Roman"/>
          <w:sz w:val="24"/>
          <w:szCs w:val="24"/>
        </w:rPr>
        <w:t>EUR</w:t>
      </w:r>
      <w:r w:rsidR="00A70E7C" w:rsidRPr="009B21DE">
        <w:rPr>
          <w:rFonts w:ascii="Times New Roman" w:hAnsi="Times New Roman" w:cs="Times New Roman"/>
          <w:sz w:val="24"/>
          <w:szCs w:val="24"/>
        </w:rPr>
        <w:t xml:space="preserve">, izdevumi </w:t>
      </w:r>
      <w:r w:rsidR="00C16A88">
        <w:rPr>
          <w:rFonts w:ascii="Times New Roman" w:hAnsi="Times New Roman" w:cs="Times New Roman"/>
          <w:sz w:val="24"/>
          <w:szCs w:val="24"/>
        </w:rPr>
        <w:t xml:space="preserve">– </w:t>
      </w:r>
      <w:r w:rsidR="00083A9F">
        <w:rPr>
          <w:rFonts w:ascii="Times New Roman" w:hAnsi="Times New Roman" w:cs="Times New Roman"/>
          <w:sz w:val="24"/>
          <w:szCs w:val="24"/>
        </w:rPr>
        <w:t>845 954</w:t>
      </w:r>
      <w:r w:rsidR="00664C66" w:rsidRPr="009B21DE">
        <w:rPr>
          <w:rFonts w:ascii="Times New Roman" w:hAnsi="Times New Roman" w:cs="Times New Roman"/>
          <w:sz w:val="24"/>
          <w:szCs w:val="24"/>
        </w:rPr>
        <w:t xml:space="preserve"> </w:t>
      </w:r>
      <w:r w:rsidR="00C16A88" w:rsidRPr="00C16A88">
        <w:rPr>
          <w:rFonts w:ascii="Times New Roman" w:hAnsi="Times New Roman" w:cs="Times New Roman"/>
          <w:sz w:val="24"/>
          <w:szCs w:val="24"/>
        </w:rPr>
        <w:t>EUR</w:t>
      </w:r>
      <w:r w:rsidR="00083A9F">
        <w:rPr>
          <w:rFonts w:ascii="Times New Roman" w:hAnsi="Times New Roman" w:cs="Times New Roman"/>
          <w:sz w:val="24"/>
          <w:szCs w:val="24"/>
        </w:rPr>
        <w:t>, atlikums uz 01.01.2017</w:t>
      </w:r>
      <w:r w:rsidR="00EC0C9A" w:rsidRPr="009B21DE">
        <w:rPr>
          <w:rFonts w:ascii="Times New Roman" w:hAnsi="Times New Roman" w:cs="Times New Roman"/>
          <w:sz w:val="24"/>
          <w:szCs w:val="24"/>
        </w:rPr>
        <w:t xml:space="preserve">. </w:t>
      </w:r>
      <w:r w:rsidR="00C16A88">
        <w:rPr>
          <w:rFonts w:ascii="Times New Roman" w:hAnsi="Times New Roman" w:cs="Times New Roman"/>
          <w:sz w:val="24"/>
          <w:szCs w:val="24"/>
        </w:rPr>
        <w:t xml:space="preserve">ir </w:t>
      </w:r>
      <w:r w:rsidR="00083A9F">
        <w:rPr>
          <w:rFonts w:ascii="Times New Roman" w:hAnsi="Times New Roman" w:cs="Times New Roman"/>
          <w:sz w:val="24"/>
          <w:szCs w:val="24"/>
        </w:rPr>
        <w:t>5327</w:t>
      </w:r>
      <w:r w:rsidR="00664C66" w:rsidRPr="009B21DE">
        <w:rPr>
          <w:rFonts w:ascii="Times New Roman" w:hAnsi="Times New Roman" w:cs="Times New Roman"/>
          <w:sz w:val="24"/>
          <w:szCs w:val="24"/>
        </w:rPr>
        <w:t xml:space="preserve"> </w:t>
      </w:r>
      <w:r w:rsidR="00C16A88">
        <w:rPr>
          <w:rFonts w:ascii="Times New Roman" w:hAnsi="Times New Roman" w:cs="Times New Roman"/>
          <w:sz w:val="24"/>
          <w:szCs w:val="24"/>
        </w:rPr>
        <w:t>EUR</w:t>
      </w:r>
      <w:r w:rsidR="00EC0C9A" w:rsidRPr="009B21DE">
        <w:rPr>
          <w:rFonts w:ascii="Times New Roman" w:hAnsi="Times New Roman" w:cs="Times New Roman"/>
          <w:sz w:val="24"/>
          <w:szCs w:val="24"/>
        </w:rPr>
        <w:t>.</w:t>
      </w:r>
      <w:r w:rsidR="00A70E7C" w:rsidRPr="009B21DE">
        <w:rPr>
          <w:rFonts w:ascii="Times New Roman" w:hAnsi="Times New Roman" w:cs="Times New Roman"/>
          <w:sz w:val="24"/>
          <w:szCs w:val="24"/>
        </w:rPr>
        <w:t xml:space="preserve"> </w:t>
      </w:r>
      <w:r w:rsidR="00705873" w:rsidRPr="009B21DE">
        <w:rPr>
          <w:rFonts w:ascii="Times New Roman" w:hAnsi="Times New Roman" w:cs="Times New Roman"/>
          <w:sz w:val="24"/>
          <w:szCs w:val="24"/>
        </w:rPr>
        <w:t xml:space="preserve">Speciālā budžeta ieņēmumi un izdevumi novadā tiek plānoti centralizēti. </w:t>
      </w:r>
      <w:r w:rsidR="00834CEA" w:rsidRPr="009B21DE">
        <w:rPr>
          <w:rFonts w:ascii="Times New Roman" w:hAnsi="Times New Roman" w:cs="Times New Roman"/>
          <w:sz w:val="24"/>
          <w:szCs w:val="24"/>
        </w:rPr>
        <w:t>Dabas resursa nodokļa ieņēmumi tiek plānoti lietus ūdeņu savākšanai, attīrīšanai, strūklaku apkalpošanai, atkritumu savākšanai, ūdens paraugu analīžu veikšanai</w:t>
      </w:r>
      <w:r w:rsidR="00664C66" w:rsidRPr="009B21DE">
        <w:rPr>
          <w:rFonts w:ascii="Times New Roman" w:hAnsi="Times New Roman" w:cs="Times New Roman"/>
          <w:sz w:val="24"/>
          <w:szCs w:val="24"/>
        </w:rPr>
        <w:t>, latvāņu pļaušanai</w:t>
      </w:r>
      <w:r w:rsidR="00D03450">
        <w:rPr>
          <w:rFonts w:ascii="Times New Roman" w:hAnsi="Times New Roman" w:cs="Times New Roman"/>
          <w:sz w:val="24"/>
          <w:szCs w:val="24"/>
        </w:rPr>
        <w:t xml:space="preserve"> un citiem izdevumiem, kas</w:t>
      </w:r>
      <w:r w:rsidR="00834CEA" w:rsidRPr="009B21DE">
        <w:rPr>
          <w:rFonts w:ascii="Times New Roman" w:hAnsi="Times New Roman" w:cs="Times New Roman"/>
          <w:sz w:val="24"/>
          <w:szCs w:val="24"/>
        </w:rPr>
        <w:t xml:space="preserve"> saistīti ar vides aizsardzību novadā. </w:t>
      </w:r>
      <w:r w:rsidRPr="009B21DE">
        <w:rPr>
          <w:rFonts w:ascii="Times New Roman" w:hAnsi="Times New Roman" w:cs="Times New Roman"/>
          <w:sz w:val="24"/>
          <w:szCs w:val="24"/>
        </w:rPr>
        <w:t>Plānotais autoceļa fonda ieņēmumu</w:t>
      </w:r>
      <w:r w:rsidR="00664C66" w:rsidRPr="009B21DE">
        <w:rPr>
          <w:rFonts w:ascii="Times New Roman" w:hAnsi="Times New Roman" w:cs="Times New Roman"/>
          <w:sz w:val="24"/>
          <w:szCs w:val="24"/>
        </w:rPr>
        <w:t xml:space="preserve"> (</w:t>
      </w:r>
      <w:r w:rsidR="000332F2">
        <w:rPr>
          <w:rFonts w:ascii="Times New Roman" w:hAnsi="Times New Roman" w:cs="Times New Roman"/>
          <w:sz w:val="24"/>
          <w:szCs w:val="24"/>
        </w:rPr>
        <w:t>740 627</w:t>
      </w:r>
      <w:r w:rsidR="00664C66" w:rsidRPr="009B21DE">
        <w:rPr>
          <w:rFonts w:ascii="Times New Roman" w:hAnsi="Times New Roman" w:cs="Times New Roman"/>
          <w:sz w:val="24"/>
          <w:szCs w:val="24"/>
        </w:rPr>
        <w:t xml:space="preserve"> </w:t>
      </w:r>
      <w:r w:rsidR="00C16A88">
        <w:rPr>
          <w:rFonts w:ascii="Times New Roman" w:hAnsi="Times New Roman" w:cs="Times New Roman"/>
          <w:sz w:val="24"/>
          <w:szCs w:val="24"/>
        </w:rPr>
        <w:t>EUR</w:t>
      </w:r>
      <w:r w:rsidR="00664C66" w:rsidRPr="009B21DE">
        <w:rPr>
          <w:rFonts w:ascii="Times New Roman" w:hAnsi="Times New Roman" w:cs="Times New Roman"/>
          <w:sz w:val="24"/>
          <w:szCs w:val="24"/>
        </w:rPr>
        <w:t>)</w:t>
      </w:r>
      <w:r w:rsidRPr="009B21DE">
        <w:rPr>
          <w:rFonts w:ascii="Times New Roman" w:hAnsi="Times New Roman" w:cs="Times New Roman"/>
          <w:sz w:val="24"/>
          <w:szCs w:val="24"/>
        </w:rPr>
        <w:t xml:space="preserve"> un atlik</w:t>
      </w:r>
      <w:r w:rsidR="00A70E7C" w:rsidRPr="009B21DE">
        <w:rPr>
          <w:rFonts w:ascii="Times New Roman" w:hAnsi="Times New Roman" w:cs="Times New Roman"/>
          <w:sz w:val="24"/>
          <w:szCs w:val="24"/>
        </w:rPr>
        <w:t>uma</w:t>
      </w:r>
      <w:r w:rsidR="009B21DE" w:rsidRPr="009B21DE">
        <w:rPr>
          <w:rFonts w:ascii="Times New Roman" w:hAnsi="Times New Roman" w:cs="Times New Roman"/>
          <w:sz w:val="24"/>
          <w:szCs w:val="24"/>
        </w:rPr>
        <w:t xml:space="preserve"> (</w:t>
      </w:r>
      <w:r w:rsidR="004B3191">
        <w:rPr>
          <w:rFonts w:ascii="Times New Roman" w:hAnsi="Times New Roman" w:cs="Times New Roman"/>
          <w:sz w:val="24"/>
          <w:szCs w:val="24"/>
        </w:rPr>
        <w:t>4344</w:t>
      </w:r>
      <w:r w:rsidR="00664C66" w:rsidRPr="009B21DE">
        <w:rPr>
          <w:rFonts w:ascii="Times New Roman" w:hAnsi="Times New Roman" w:cs="Times New Roman"/>
          <w:sz w:val="24"/>
          <w:szCs w:val="24"/>
        </w:rPr>
        <w:t>)</w:t>
      </w:r>
      <w:r w:rsidR="00682BD0">
        <w:rPr>
          <w:rFonts w:ascii="Times New Roman" w:hAnsi="Times New Roman" w:cs="Times New Roman"/>
          <w:sz w:val="24"/>
          <w:szCs w:val="24"/>
        </w:rPr>
        <w:t xml:space="preserve"> sadalījums novadā parādīts 3</w:t>
      </w:r>
      <w:r w:rsidRPr="009B21DE">
        <w:rPr>
          <w:rFonts w:ascii="Times New Roman" w:hAnsi="Times New Roman" w:cs="Times New Roman"/>
          <w:sz w:val="24"/>
          <w:szCs w:val="24"/>
        </w:rPr>
        <w:t>.attēlā.</w:t>
      </w:r>
    </w:p>
    <w:p w:rsidR="00DC4A66" w:rsidRPr="009B21DE" w:rsidRDefault="00A86916" w:rsidP="00D24810">
      <w:pPr>
        <w:jc w:val="both"/>
        <w:rPr>
          <w:rFonts w:ascii="Times New Roman" w:hAnsi="Times New Roman" w:cs="Times New Roman"/>
          <w:sz w:val="24"/>
          <w:szCs w:val="24"/>
        </w:rPr>
      </w:pPr>
      <w:r w:rsidRPr="009B21DE">
        <w:rPr>
          <w:rFonts w:ascii="Times New Roman" w:hAnsi="Times New Roman" w:cs="Times New Roman"/>
          <w:noProof/>
          <w:sz w:val="24"/>
          <w:szCs w:val="24"/>
          <w:lang w:eastAsia="lv-LV"/>
        </w:rPr>
        <w:drawing>
          <wp:inline distT="0" distB="0" distL="0" distR="0">
            <wp:extent cx="5486400" cy="3444240"/>
            <wp:effectExtent l="38100" t="0" r="0" b="381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1136" w:rsidRDefault="00DC4A66" w:rsidP="001D7982">
      <w:pPr>
        <w:jc w:val="both"/>
        <w:rPr>
          <w:rFonts w:ascii="Times New Roman" w:hAnsi="Times New Roman" w:cs="Times New Roman"/>
          <w:sz w:val="24"/>
          <w:szCs w:val="24"/>
        </w:rPr>
      </w:pPr>
      <w:r w:rsidRPr="009B21DE">
        <w:rPr>
          <w:rFonts w:ascii="Times New Roman" w:hAnsi="Times New Roman" w:cs="Times New Roman"/>
          <w:sz w:val="24"/>
          <w:szCs w:val="24"/>
        </w:rPr>
        <w:tab/>
      </w:r>
      <w:r w:rsidR="00DE4AB8">
        <w:rPr>
          <w:rFonts w:ascii="Times New Roman" w:hAnsi="Times New Roman" w:cs="Times New Roman"/>
          <w:sz w:val="24"/>
          <w:szCs w:val="24"/>
        </w:rPr>
        <w:t>2017.</w:t>
      </w:r>
      <w:r w:rsidR="0045590B" w:rsidRPr="009B21DE">
        <w:rPr>
          <w:rFonts w:ascii="Times New Roman" w:hAnsi="Times New Roman" w:cs="Times New Roman"/>
          <w:sz w:val="24"/>
          <w:szCs w:val="24"/>
        </w:rPr>
        <w:t>gada Tukuma pašvaldības bud</w:t>
      </w:r>
      <w:r w:rsidR="00014043" w:rsidRPr="009B21DE">
        <w:rPr>
          <w:rFonts w:ascii="Times New Roman" w:hAnsi="Times New Roman" w:cs="Times New Roman"/>
          <w:sz w:val="24"/>
          <w:szCs w:val="24"/>
        </w:rPr>
        <w:t xml:space="preserve">žeta ieņēmumu un izdevumu daļa </w:t>
      </w:r>
      <w:r w:rsidR="0045590B" w:rsidRPr="009B21DE">
        <w:rPr>
          <w:rFonts w:ascii="Times New Roman" w:hAnsi="Times New Roman" w:cs="Times New Roman"/>
          <w:sz w:val="24"/>
          <w:szCs w:val="24"/>
        </w:rPr>
        <w:t>ir sagatavota sabalansēta</w:t>
      </w:r>
      <w:r w:rsidRPr="009B21DE">
        <w:rPr>
          <w:rFonts w:ascii="Times New Roman" w:hAnsi="Times New Roman" w:cs="Times New Roman"/>
          <w:sz w:val="24"/>
          <w:szCs w:val="24"/>
        </w:rPr>
        <w:t xml:space="preserve"> </w:t>
      </w:r>
      <w:r w:rsidR="00315353" w:rsidRPr="009B21DE">
        <w:rPr>
          <w:rFonts w:ascii="Times New Roman" w:hAnsi="Times New Roman" w:cs="Times New Roman"/>
          <w:sz w:val="24"/>
          <w:szCs w:val="24"/>
        </w:rPr>
        <w:t>un lielākais atbalsts ir plānots izglītībai, kultūrai, spo</w:t>
      </w:r>
      <w:r w:rsidR="007A63E8" w:rsidRPr="009B21DE">
        <w:rPr>
          <w:rFonts w:ascii="Times New Roman" w:hAnsi="Times New Roman" w:cs="Times New Roman"/>
          <w:sz w:val="24"/>
          <w:szCs w:val="24"/>
        </w:rPr>
        <w:t xml:space="preserve">rtam un pašvaldības teritorijas un mājokļu sakārtošanai. </w:t>
      </w:r>
      <w:r w:rsidR="00315353" w:rsidRPr="009B21DE">
        <w:rPr>
          <w:rFonts w:ascii="Times New Roman" w:hAnsi="Times New Roman" w:cs="Times New Roman"/>
          <w:sz w:val="24"/>
          <w:szCs w:val="24"/>
        </w:rPr>
        <w:t>Šīs sfēras ir noteiktas par prioritārām šogad. Tāpat galvenais uzsvars novada attīstībai</w:t>
      </w:r>
      <w:r w:rsidR="0045590B" w:rsidRPr="009B21DE">
        <w:rPr>
          <w:rFonts w:ascii="Times New Roman" w:hAnsi="Times New Roman" w:cs="Times New Roman"/>
          <w:sz w:val="24"/>
          <w:szCs w:val="24"/>
        </w:rPr>
        <w:t xml:space="preserve"> ir plānot un īstenot projektus ar Eir</w:t>
      </w:r>
      <w:r w:rsidR="00705873" w:rsidRPr="009B21DE">
        <w:rPr>
          <w:rFonts w:ascii="Times New Roman" w:hAnsi="Times New Roman" w:cs="Times New Roman"/>
          <w:sz w:val="24"/>
          <w:szCs w:val="24"/>
        </w:rPr>
        <w:t>opas Savienības līdzfinansējumu, jo novadā ir nepieciešamas investīcijas infrastruktūrā, izglītības un kultūras iestādēs.</w:t>
      </w:r>
      <w:r w:rsidR="00F855D4" w:rsidRPr="009B21DE">
        <w:rPr>
          <w:rFonts w:ascii="Times New Roman" w:hAnsi="Times New Roman" w:cs="Times New Roman"/>
          <w:sz w:val="24"/>
          <w:szCs w:val="24"/>
        </w:rPr>
        <w:t xml:space="preserve"> </w:t>
      </w:r>
    </w:p>
    <w:p w:rsidR="00143C7A" w:rsidRPr="00BD3302" w:rsidRDefault="00143C7A" w:rsidP="001F1565">
      <w:pPr>
        <w:jc w:val="both"/>
        <w:rPr>
          <w:rFonts w:ascii="Times New Roman" w:hAnsi="Times New Roman" w:cs="Times New Roman"/>
          <w:b/>
          <w:iCs/>
          <w:sz w:val="24"/>
          <w:szCs w:val="24"/>
        </w:rPr>
      </w:pPr>
      <w:r w:rsidRPr="00BD3302">
        <w:rPr>
          <w:rFonts w:ascii="Times New Roman" w:hAnsi="Times New Roman" w:cs="Times New Roman"/>
          <w:b/>
          <w:iCs/>
          <w:sz w:val="24"/>
          <w:szCs w:val="24"/>
        </w:rPr>
        <w:t>Tukuma novada 2017.</w:t>
      </w:r>
      <w:r w:rsidR="001F1565" w:rsidRPr="00BD3302">
        <w:rPr>
          <w:rFonts w:ascii="Times New Roman" w:hAnsi="Times New Roman" w:cs="Times New Roman"/>
          <w:b/>
          <w:iCs/>
          <w:sz w:val="24"/>
          <w:szCs w:val="24"/>
        </w:rPr>
        <w:t>gada</w:t>
      </w:r>
      <w:r w:rsidR="00BD3302">
        <w:rPr>
          <w:rFonts w:ascii="Times New Roman" w:hAnsi="Times New Roman" w:cs="Times New Roman"/>
          <w:b/>
          <w:iCs/>
          <w:sz w:val="24"/>
          <w:szCs w:val="24"/>
        </w:rPr>
        <w:t xml:space="preserve"> un turpmāko gadu prioritātes</w:t>
      </w:r>
      <w:bookmarkStart w:id="0" w:name="_GoBack"/>
      <w:bookmarkEnd w:id="0"/>
    </w:p>
    <w:p w:rsidR="00143C7A" w:rsidRPr="00143C7A" w:rsidRDefault="00D03450" w:rsidP="00143C7A">
      <w:pPr>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Atbilstīgi Tukuma novada A</w:t>
      </w:r>
      <w:r w:rsidR="001F1565">
        <w:rPr>
          <w:rFonts w:ascii="Times New Roman" w:hAnsi="Times New Roman" w:cs="Times New Roman"/>
          <w:color w:val="000000"/>
          <w:sz w:val="24"/>
          <w:szCs w:val="24"/>
        </w:rPr>
        <w:t>ttīstības programmā 2015.–</w:t>
      </w:r>
      <w:r w:rsidR="00143C7A">
        <w:rPr>
          <w:rFonts w:ascii="Times New Roman" w:hAnsi="Times New Roman" w:cs="Times New Roman"/>
          <w:color w:val="000000"/>
          <w:sz w:val="24"/>
          <w:szCs w:val="24"/>
        </w:rPr>
        <w:t xml:space="preserve">2021.gadam noteiktajām Tukuma novada vidēja termiņa prioritātēm: </w:t>
      </w:r>
      <w:r w:rsidR="00143C7A">
        <w:rPr>
          <w:rFonts w:ascii="Times New Roman" w:hAnsi="Times New Roman" w:cs="Times New Roman"/>
          <w:color w:val="000000"/>
          <w:sz w:val="24"/>
          <w:szCs w:val="24"/>
          <w:u w:val="single"/>
        </w:rPr>
        <w:t>izglītība, uzņēmējdarbības attīstība un mājokļa piedāvājuma palielināšana</w:t>
      </w:r>
      <w:r w:rsidR="00143C7A">
        <w:rPr>
          <w:rFonts w:ascii="Times New Roman" w:hAnsi="Times New Roman" w:cs="Times New Roman"/>
          <w:color w:val="000000"/>
          <w:sz w:val="24"/>
          <w:szCs w:val="24"/>
        </w:rPr>
        <w:t>, 2017.gadā plānots īstenot nozīmīgus investīciju projektus pilsētā un pagastos.</w:t>
      </w:r>
    </w:p>
    <w:p w:rsidR="00143C7A" w:rsidRDefault="00143C7A" w:rsidP="00143C7A">
      <w:pPr>
        <w:ind w:firstLine="720"/>
        <w:jc w:val="both"/>
        <w:rPr>
          <w:rFonts w:ascii="Times New Roman" w:hAnsi="Times New Roman" w:cs="Times New Roman"/>
          <w:sz w:val="24"/>
          <w:szCs w:val="24"/>
        </w:rPr>
      </w:pPr>
      <w:r>
        <w:rPr>
          <w:rFonts w:ascii="Times New Roman" w:hAnsi="Times New Roman" w:cs="Times New Roman"/>
          <w:sz w:val="24"/>
          <w:szCs w:val="24"/>
        </w:rPr>
        <w:t xml:space="preserve">Izglītības jomā 2017.gadā tiks uzsākti būtiski infrastruktūras uzlabošanas darbi Tukuma pilsētas vispārējās izglītības iestādēs </w:t>
      </w:r>
      <w:r w:rsidR="004E14B1">
        <w:rPr>
          <w:rFonts w:ascii="Times New Roman" w:hAnsi="Times New Roman" w:cs="Times New Roman"/>
          <w:sz w:val="24"/>
          <w:szCs w:val="24"/>
        </w:rPr>
        <w:t>–</w:t>
      </w:r>
      <w:r>
        <w:rPr>
          <w:rFonts w:ascii="Times New Roman" w:hAnsi="Times New Roman" w:cs="Times New Roman"/>
          <w:sz w:val="24"/>
          <w:szCs w:val="24"/>
        </w:rPr>
        <w:t xml:space="preserve"> Tukuma Raiņa ģimnāzijā, Tukuma 2.</w:t>
      </w:r>
      <w:r w:rsidR="004E14B1">
        <w:rPr>
          <w:rFonts w:ascii="Times New Roman" w:hAnsi="Times New Roman" w:cs="Times New Roman"/>
          <w:sz w:val="24"/>
          <w:szCs w:val="24"/>
        </w:rPr>
        <w:t>vidusskolā, Tukuma E.Birznieka-</w:t>
      </w:r>
      <w:r>
        <w:rPr>
          <w:rFonts w:ascii="Times New Roman" w:hAnsi="Times New Roman" w:cs="Times New Roman"/>
          <w:sz w:val="24"/>
          <w:szCs w:val="24"/>
        </w:rPr>
        <w:t xml:space="preserve">Upīša 1.pamatskolā, Tukuma 2.pamatskolā, piesaistot Eiropas Reģionālā attīstības fonda (ERAF) līdzfinansējumu. Irlavas sporta namā plānots uzstādīt energoefektīvu apgaismojumu, ar </w:t>
      </w:r>
      <w:r>
        <w:rPr>
          <w:rFonts w:ascii="Times New Roman" w:hAnsi="Times New Roman" w:cs="Times New Roman"/>
          <w:color w:val="000000"/>
          <w:sz w:val="24"/>
          <w:szCs w:val="24"/>
          <w:lang w:eastAsia="lv-LV"/>
        </w:rPr>
        <w:t>Eiropas Lauksaimniecības fonda lauku attīstībai</w:t>
      </w:r>
      <w:r>
        <w:rPr>
          <w:rFonts w:ascii="Times New Roman" w:hAnsi="Times New Roman" w:cs="Times New Roman"/>
          <w:sz w:val="24"/>
          <w:szCs w:val="24"/>
        </w:rPr>
        <w:t xml:space="preserve"> (ELFLA) līdzfinansējumu. Ar Eiropas Sociālā fonda atbalstu (ESF) tiks organizēti dažādi izglītojoši pasākumi vietējās sabiedrības veselības veicināšanai un slimību profilaksei.</w:t>
      </w:r>
    </w:p>
    <w:p w:rsidR="00143C7A" w:rsidRPr="004E14B1" w:rsidRDefault="00143C7A" w:rsidP="004E14B1">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Ar ERAF līdzfinansējumu plānots pabeigt </w:t>
      </w:r>
      <w:proofErr w:type="spellStart"/>
      <w:r>
        <w:rPr>
          <w:rFonts w:ascii="Times New Roman" w:hAnsi="Times New Roman" w:cs="Times New Roman"/>
          <w:sz w:val="24"/>
          <w:szCs w:val="24"/>
        </w:rPr>
        <w:t>Melnezera</w:t>
      </w:r>
      <w:proofErr w:type="spellEnd"/>
      <w:r>
        <w:rPr>
          <w:rFonts w:ascii="Times New Roman" w:hAnsi="Times New Roman" w:cs="Times New Roman"/>
          <w:sz w:val="24"/>
          <w:szCs w:val="24"/>
        </w:rPr>
        <w:t xml:space="preserve"> ielas, </w:t>
      </w:r>
      <w:proofErr w:type="spellStart"/>
      <w:r>
        <w:rPr>
          <w:rFonts w:ascii="Times New Roman" w:hAnsi="Times New Roman" w:cs="Times New Roman"/>
          <w:sz w:val="24"/>
          <w:szCs w:val="24"/>
        </w:rPr>
        <w:t>Vilkājas</w:t>
      </w:r>
      <w:proofErr w:type="spellEnd"/>
      <w:r>
        <w:rPr>
          <w:rFonts w:ascii="Times New Roman" w:hAnsi="Times New Roman" w:cs="Times New Roman"/>
          <w:sz w:val="24"/>
          <w:szCs w:val="24"/>
        </w:rPr>
        <w:t xml:space="preserve"> ielas, Purva ielas būvniecību Tukuma pilsētā. 2017.gadā plānots uzsākt Parādes ielas, Slocenes ielas būvniecību, kā arī organizēt Stacijas ielas būvdarbu uzsākšanas darbus. Rezultātā tiks sekmēta uzņēmējdarbības attīstība Tukuma pilsētā. </w:t>
      </w:r>
      <w:r>
        <w:rPr>
          <w:rFonts w:ascii="Times New Roman" w:hAnsi="Times New Roman" w:cs="Times New Roman"/>
          <w:color w:val="000000"/>
          <w:sz w:val="24"/>
          <w:szCs w:val="24"/>
          <w:lang w:eastAsia="lv-LV"/>
        </w:rPr>
        <w:t>Pagastos plānots pārbūvēt 15 pašvaldības autoceļu posmus ar grants segumu 43,7 km garumā ar ELFLA līdzfinansējumu, veicinot uzņēmējdarbības attīstību Tukuma novada teritorijā.</w:t>
      </w:r>
    </w:p>
    <w:p w:rsidR="00143C7A" w:rsidRDefault="00143C7A" w:rsidP="00143C7A">
      <w:pPr>
        <w:rPr>
          <w:rFonts w:ascii="Calibri" w:hAnsi="Calibri" w:cs="Calibri"/>
          <w:color w:val="1F497D"/>
        </w:rPr>
      </w:pPr>
    </w:p>
    <w:p w:rsidR="003D77B3" w:rsidRPr="009B21DE" w:rsidRDefault="003D77B3" w:rsidP="00801136">
      <w:pPr>
        <w:jc w:val="both"/>
        <w:rPr>
          <w:rFonts w:ascii="Times New Roman" w:eastAsia="Calibri" w:hAnsi="Times New Roman" w:cs="Times New Roman"/>
          <w:sz w:val="24"/>
          <w:szCs w:val="24"/>
        </w:rPr>
      </w:pPr>
      <w:r w:rsidRPr="009B21DE">
        <w:rPr>
          <w:rFonts w:ascii="Times New Roman" w:hAnsi="Times New Roman" w:cs="Times New Roman"/>
          <w:sz w:val="24"/>
          <w:szCs w:val="24"/>
        </w:rPr>
        <w:t>Domes priekšsēdētājs</w:t>
      </w:r>
      <w:r w:rsidRPr="009B21DE">
        <w:rPr>
          <w:rFonts w:ascii="Times New Roman" w:hAnsi="Times New Roman" w:cs="Times New Roman"/>
          <w:sz w:val="24"/>
          <w:szCs w:val="24"/>
        </w:rPr>
        <w:tab/>
      </w:r>
      <w:r w:rsidRPr="009B21DE">
        <w:rPr>
          <w:rFonts w:ascii="Times New Roman" w:hAnsi="Times New Roman" w:cs="Times New Roman"/>
          <w:sz w:val="24"/>
          <w:szCs w:val="24"/>
        </w:rPr>
        <w:tab/>
      </w:r>
      <w:r w:rsidRPr="009B21DE">
        <w:rPr>
          <w:rFonts w:ascii="Times New Roman" w:hAnsi="Times New Roman" w:cs="Times New Roman"/>
          <w:sz w:val="24"/>
          <w:szCs w:val="24"/>
        </w:rPr>
        <w:tab/>
      </w:r>
      <w:r w:rsidRPr="009B21DE">
        <w:rPr>
          <w:rFonts w:ascii="Times New Roman" w:hAnsi="Times New Roman" w:cs="Times New Roman"/>
          <w:sz w:val="24"/>
          <w:szCs w:val="24"/>
        </w:rPr>
        <w:tab/>
      </w:r>
      <w:r w:rsidRPr="009B21DE">
        <w:rPr>
          <w:rFonts w:ascii="Times New Roman" w:hAnsi="Times New Roman" w:cs="Times New Roman"/>
          <w:sz w:val="24"/>
          <w:szCs w:val="24"/>
        </w:rPr>
        <w:tab/>
      </w:r>
      <w:r w:rsidRPr="009B21DE">
        <w:rPr>
          <w:rFonts w:ascii="Times New Roman" w:hAnsi="Times New Roman" w:cs="Times New Roman"/>
          <w:sz w:val="24"/>
          <w:szCs w:val="24"/>
        </w:rPr>
        <w:tab/>
      </w:r>
      <w:r w:rsidRPr="009B21DE">
        <w:rPr>
          <w:rFonts w:ascii="Times New Roman" w:hAnsi="Times New Roman" w:cs="Times New Roman"/>
          <w:sz w:val="24"/>
          <w:szCs w:val="24"/>
        </w:rPr>
        <w:tab/>
      </w:r>
      <w:r w:rsidR="00663366" w:rsidRPr="009B21DE">
        <w:rPr>
          <w:rFonts w:ascii="Times New Roman" w:hAnsi="Times New Roman" w:cs="Times New Roman"/>
          <w:sz w:val="24"/>
          <w:szCs w:val="24"/>
        </w:rPr>
        <w:tab/>
      </w:r>
      <w:r w:rsidR="00663366" w:rsidRPr="009B21DE">
        <w:rPr>
          <w:rFonts w:ascii="Times New Roman" w:hAnsi="Times New Roman" w:cs="Times New Roman"/>
          <w:sz w:val="24"/>
          <w:szCs w:val="24"/>
        </w:rPr>
        <w:tab/>
      </w:r>
      <w:r w:rsidR="00366FD5" w:rsidRPr="009B21DE">
        <w:rPr>
          <w:rFonts w:ascii="Times New Roman" w:hAnsi="Times New Roman" w:cs="Times New Roman"/>
          <w:sz w:val="24"/>
          <w:szCs w:val="24"/>
        </w:rPr>
        <w:t>Ē.Lukmans</w:t>
      </w:r>
    </w:p>
    <w:p w:rsidR="00801136" w:rsidRPr="009B21DE" w:rsidRDefault="00801136" w:rsidP="00801136">
      <w:pPr>
        <w:rPr>
          <w:rFonts w:ascii="Times New Roman" w:eastAsia="Calibri" w:hAnsi="Times New Roman" w:cs="Times New Roman"/>
          <w:b/>
          <w:sz w:val="24"/>
          <w:szCs w:val="24"/>
        </w:rPr>
      </w:pPr>
    </w:p>
    <w:p w:rsidR="00801136" w:rsidRPr="009B21DE" w:rsidRDefault="00801136" w:rsidP="00801136">
      <w:pPr>
        <w:rPr>
          <w:rFonts w:ascii="Times New Roman" w:eastAsia="Calibri" w:hAnsi="Times New Roman" w:cs="Times New Roman"/>
          <w:b/>
          <w:sz w:val="24"/>
          <w:szCs w:val="24"/>
        </w:rPr>
      </w:pPr>
    </w:p>
    <w:p w:rsidR="00801136" w:rsidRPr="009B21DE" w:rsidRDefault="00801136" w:rsidP="00801136">
      <w:pPr>
        <w:rPr>
          <w:rFonts w:ascii="Times New Roman" w:eastAsia="Calibri" w:hAnsi="Times New Roman" w:cs="Times New Roman"/>
          <w:b/>
          <w:sz w:val="24"/>
          <w:szCs w:val="24"/>
        </w:rPr>
      </w:pPr>
    </w:p>
    <w:p w:rsidR="007711E5" w:rsidRPr="009B21DE" w:rsidRDefault="007711E5" w:rsidP="00D24810">
      <w:pPr>
        <w:jc w:val="both"/>
        <w:rPr>
          <w:rFonts w:ascii="Times New Roman" w:hAnsi="Times New Roman" w:cs="Times New Roman"/>
          <w:sz w:val="24"/>
          <w:szCs w:val="24"/>
        </w:rPr>
      </w:pPr>
    </w:p>
    <w:p w:rsidR="00EF0FB1" w:rsidRPr="009B21DE" w:rsidRDefault="00EF0FB1" w:rsidP="00D24810">
      <w:pPr>
        <w:jc w:val="both"/>
        <w:rPr>
          <w:rFonts w:ascii="Times New Roman" w:hAnsi="Times New Roman" w:cs="Times New Roman"/>
          <w:sz w:val="24"/>
          <w:szCs w:val="24"/>
        </w:rPr>
      </w:pPr>
    </w:p>
    <w:p w:rsidR="00EF0FB1" w:rsidRPr="009B21DE" w:rsidRDefault="00EF0FB1" w:rsidP="00D24810">
      <w:pPr>
        <w:jc w:val="both"/>
        <w:rPr>
          <w:rFonts w:ascii="Times New Roman" w:hAnsi="Times New Roman" w:cs="Times New Roman"/>
          <w:sz w:val="24"/>
          <w:szCs w:val="24"/>
        </w:rPr>
      </w:pPr>
    </w:p>
    <w:p w:rsidR="0045590B" w:rsidRPr="009B21DE" w:rsidRDefault="0045590B" w:rsidP="00D24810">
      <w:pPr>
        <w:jc w:val="both"/>
        <w:rPr>
          <w:rFonts w:ascii="Times New Roman" w:hAnsi="Times New Roman" w:cs="Times New Roman"/>
          <w:sz w:val="24"/>
          <w:szCs w:val="24"/>
        </w:rPr>
      </w:pPr>
    </w:p>
    <w:p w:rsidR="007970D9" w:rsidRPr="002A2B12" w:rsidRDefault="007970D9"/>
    <w:sectPr w:rsidR="007970D9" w:rsidRPr="002A2B12" w:rsidSect="001269D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44C" w:rsidRDefault="00CC344C" w:rsidP="00511457">
      <w:pPr>
        <w:spacing w:after="0" w:line="240" w:lineRule="auto"/>
      </w:pPr>
      <w:r>
        <w:separator/>
      </w:r>
    </w:p>
  </w:endnote>
  <w:endnote w:type="continuationSeparator" w:id="0">
    <w:p w:rsidR="00CC344C" w:rsidRDefault="00CC344C" w:rsidP="0051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44C" w:rsidRDefault="00CC344C" w:rsidP="00511457">
      <w:pPr>
        <w:spacing w:after="0" w:line="240" w:lineRule="auto"/>
      </w:pPr>
      <w:r>
        <w:separator/>
      </w:r>
    </w:p>
  </w:footnote>
  <w:footnote w:type="continuationSeparator" w:id="0">
    <w:p w:rsidR="00CC344C" w:rsidRDefault="00CC344C" w:rsidP="00511457">
      <w:pPr>
        <w:spacing w:after="0" w:line="240" w:lineRule="auto"/>
      </w:pPr>
      <w:r>
        <w:continuationSeparator/>
      </w:r>
    </w:p>
  </w:footnote>
  <w:footnote w:id="1">
    <w:p w:rsidR="00511457" w:rsidRDefault="00511457" w:rsidP="00511457">
      <w:pPr>
        <w:pStyle w:val="FootnoteText"/>
      </w:pPr>
      <w:r>
        <w:rPr>
          <w:rStyle w:val="FootnoteReference"/>
        </w:rPr>
        <w:footnoteRef/>
      </w:r>
      <w:r>
        <w:t xml:space="preserve"> PMLP dati uz 01.07.2016.</w:t>
      </w:r>
    </w:p>
  </w:footnote>
  <w:footnote w:id="2">
    <w:p w:rsidR="00511457" w:rsidRDefault="00511457" w:rsidP="00511457">
      <w:pPr>
        <w:pStyle w:val="FootnoteText"/>
      </w:pPr>
      <w:r>
        <w:rPr>
          <w:rStyle w:val="FootnoteReference"/>
        </w:rPr>
        <w:footnoteRef/>
      </w:r>
      <w:r>
        <w:t xml:space="preserve"> CSP dati 2015.gads</w:t>
      </w:r>
    </w:p>
  </w:footnote>
  <w:footnote w:id="3">
    <w:p w:rsidR="00511457" w:rsidRDefault="00511457" w:rsidP="00511457">
      <w:pPr>
        <w:pStyle w:val="FootnoteText"/>
      </w:pPr>
      <w:r>
        <w:rPr>
          <w:rStyle w:val="FootnoteReference"/>
        </w:rPr>
        <w:footnoteRef/>
      </w:r>
      <w:r>
        <w:t xml:space="preserve"> CSP dati 2015.gads</w:t>
      </w:r>
    </w:p>
  </w:footnote>
  <w:footnote w:id="4">
    <w:p w:rsidR="00511457" w:rsidRDefault="00511457" w:rsidP="00511457">
      <w:pPr>
        <w:pStyle w:val="FootnoteText"/>
      </w:pPr>
      <w:r>
        <w:rPr>
          <w:rStyle w:val="FootnoteReference"/>
        </w:rPr>
        <w:footnoteRef/>
      </w:r>
      <w:r>
        <w:t xml:space="preserve"> CSP dati 2016.gads (1.-3.ceturksnim)</w:t>
      </w:r>
    </w:p>
  </w:footnote>
  <w:footnote w:id="5">
    <w:p w:rsidR="00511457" w:rsidRDefault="00511457" w:rsidP="00511457">
      <w:pPr>
        <w:pStyle w:val="FootnoteText"/>
      </w:pPr>
      <w:r>
        <w:rPr>
          <w:rStyle w:val="FootnoteReference"/>
        </w:rPr>
        <w:footnoteRef/>
      </w:r>
      <w:r>
        <w:t xml:space="preserve"> NVA dati uz 30.06.2016.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8745E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421C81"/>
    <w:multiLevelType w:val="hybridMultilevel"/>
    <w:tmpl w:val="901E6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18C5DBE"/>
    <w:multiLevelType w:val="hybridMultilevel"/>
    <w:tmpl w:val="88EAD9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5E5F3D65"/>
    <w:multiLevelType w:val="hybridMultilevel"/>
    <w:tmpl w:val="DE4ED778"/>
    <w:lvl w:ilvl="0" w:tplc="9A7AD7CA">
      <w:start w:val="2017"/>
      <w:numFmt w:val="bullet"/>
      <w:lvlText w:val=""/>
      <w:lvlJc w:val="left"/>
      <w:pPr>
        <w:ind w:left="720" w:hanging="360"/>
      </w:pPr>
      <w:rPr>
        <w:rFonts w:ascii="Symbol" w:eastAsia="Calibr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65DF64DB"/>
    <w:multiLevelType w:val="hybridMultilevel"/>
    <w:tmpl w:val="36C826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6EC672BF"/>
    <w:multiLevelType w:val="hybridMultilevel"/>
    <w:tmpl w:val="F210D5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46C"/>
    <w:rsid w:val="00003BF5"/>
    <w:rsid w:val="00004DAE"/>
    <w:rsid w:val="00006DE5"/>
    <w:rsid w:val="000129FF"/>
    <w:rsid w:val="00014043"/>
    <w:rsid w:val="00015021"/>
    <w:rsid w:val="00022521"/>
    <w:rsid w:val="00022A88"/>
    <w:rsid w:val="00023D48"/>
    <w:rsid w:val="00024466"/>
    <w:rsid w:val="00027883"/>
    <w:rsid w:val="000332F2"/>
    <w:rsid w:val="00041691"/>
    <w:rsid w:val="00045E9A"/>
    <w:rsid w:val="00046484"/>
    <w:rsid w:val="000470F3"/>
    <w:rsid w:val="00047A94"/>
    <w:rsid w:val="00052171"/>
    <w:rsid w:val="00057E3A"/>
    <w:rsid w:val="000600A4"/>
    <w:rsid w:val="00061906"/>
    <w:rsid w:val="00062174"/>
    <w:rsid w:val="00062B23"/>
    <w:rsid w:val="00063BBC"/>
    <w:rsid w:val="000668B3"/>
    <w:rsid w:val="00067F64"/>
    <w:rsid w:val="000711CA"/>
    <w:rsid w:val="00071C4D"/>
    <w:rsid w:val="00072DC8"/>
    <w:rsid w:val="00075BFF"/>
    <w:rsid w:val="0007633F"/>
    <w:rsid w:val="0008289D"/>
    <w:rsid w:val="00083A9F"/>
    <w:rsid w:val="000941C7"/>
    <w:rsid w:val="00096D2A"/>
    <w:rsid w:val="000A41F0"/>
    <w:rsid w:val="000A68AF"/>
    <w:rsid w:val="000B3BA7"/>
    <w:rsid w:val="000C3506"/>
    <w:rsid w:val="000C70FD"/>
    <w:rsid w:val="000D05C5"/>
    <w:rsid w:val="000D45FC"/>
    <w:rsid w:val="000E17EE"/>
    <w:rsid w:val="000E1A5C"/>
    <w:rsid w:val="000F3A17"/>
    <w:rsid w:val="00100AA9"/>
    <w:rsid w:val="00103995"/>
    <w:rsid w:val="00113293"/>
    <w:rsid w:val="001269DD"/>
    <w:rsid w:val="001345EA"/>
    <w:rsid w:val="001365F2"/>
    <w:rsid w:val="00143C7A"/>
    <w:rsid w:val="00144F94"/>
    <w:rsid w:val="00147215"/>
    <w:rsid w:val="00156595"/>
    <w:rsid w:val="00162396"/>
    <w:rsid w:val="00162BD1"/>
    <w:rsid w:val="00164FD7"/>
    <w:rsid w:val="00165ECC"/>
    <w:rsid w:val="00167155"/>
    <w:rsid w:val="0016744F"/>
    <w:rsid w:val="00167D98"/>
    <w:rsid w:val="00170F8A"/>
    <w:rsid w:val="00172B99"/>
    <w:rsid w:val="0018330B"/>
    <w:rsid w:val="0018452C"/>
    <w:rsid w:val="00184965"/>
    <w:rsid w:val="001862DE"/>
    <w:rsid w:val="001A2611"/>
    <w:rsid w:val="001A5A1C"/>
    <w:rsid w:val="001A5F5C"/>
    <w:rsid w:val="001A7E43"/>
    <w:rsid w:val="001B013C"/>
    <w:rsid w:val="001C449D"/>
    <w:rsid w:val="001C4F6A"/>
    <w:rsid w:val="001C6FBB"/>
    <w:rsid w:val="001C7126"/>
    <w:rsid w:val="001C75CD"/>
    <w:rsid w:val="001C79D5"/>
    <w:rsid w:val="001D1AF9"/>
    <w:rsid w:val="001D7982"/>
    <w:rsid w:val="001E3B25"/>
    <w:rsid w:val="001E4397"/>
    <w:rsid w:val="001E77C2"/>
    <w:rsid w:val="001F059A"/>
    <w:rsid w:val="001F1565"/>
    <w:rsid w:val="001F4A67"/>
    <w:rsid w:val="001F6335"/>
    <w:rsid w:val="001F7C34"/>
    <w:rsid w:val="00204B2C"/>
    <w:rsid w:val="002075AD"/>
    <w:rsid w:val="00213698"/>
    <w:rsid w:val="00220766"/>
    <w:rsid w:val="0022565B"/>
    <w:rsid w:val="00227115"/>
    <w:rsid w:val="00230B14"/>
    <w:rsid w:val="00231002"/>
    <w:rsid w:val="0023380C"/>
    <w:rsid w:val="00233E4F"/>
    <w:rsid w:val="002402B6"/>
    <w:rsid w:val="00244D57"/>
    <w:rsid w:val="002463F2"/>
    <w:rsid w:val="00253344"/>
    <w:rsid w:val="00263854"/>
    <w:rsid w:val="00276725"/>
    <w:rsid w:val="0028114A"/>
    <w:rsid w:val="002812B6"/>
    <w:rsid w:val="002823A3"/>
    <w:rsid w:val="002824EB"/>
    <w:rsid w:val="002848B9"/>
    <w:rsid w:val="002853DE"/>
    <w:rsid w:val="00291B1F"/>
    <w:rsid w:val="0029244E"/>
    <w:rsid w:val="002962AD"/>
    <w:rsid w:val="002A1E7C"/>
    <w:rsid w:val="002A2B12"/>
    <w:rsid w:val="002A752B"/>
    <w:rsid w:val="002A7ACE"/>
    <w:rsid w:val="002B574A"/>
    <w:rsid w:val="002B7993"/>
    <w:rsid w:val="002C1E11"/>
    <w:rsid w:val="002C357D"/>
    <w:rsid w:val="002D70F0"/>
    <w:rsid w:val="002E14C2"/>
    <w:rsid w:val="002E21E5"/>
    <w:rsid w:val="002E3C9E"/>
    <w:rsid w:val="002F1ED1"/>
    <w:rsid w:val="002F36D4"/>
    <w:rsid w:val="003012D3"/>
    <w:rsid w:val="003027D2"/>
    <w:rsid w:val="003122A0"/>
    <w:rsid w:val="00315353"/>
    <w:rsid w:val="00322B80"/>
    <w:rsid w:val="00335BF2"/>
    <w:rsid w:val="00353F10"/>
    <w:rsid w:val="003632CF"/>
    <w:rsid w:val="0036398C"/>
    <w:rsid w:val="0036584D"/>
    <w:rsid w:val="00366FD5"/>
    <w:rsid w:val="00367024"/>
    <w:rsid w:val="00367372"/>
    <w:rsid w:val="003703E2"/>
    <w:rsid w:val="00390716"/>
    <w:rsid w:val="00391953"/>
    <w:rsid w:val="003933F9"/>
    <w:rsid w:val="003A2631"/>
    <w:rsid w:val="003C153A"/>
    <w:rsid w:val="003C2446"/>
    <w:rsid w:val="003C33B5"/>
    <w:rsid w:val="003C42D5"/>
    <w:rsid w:val="003C7D16"/>
    <w:rsid w:val="003D41EC"/>
    <w:rsid w:val="003D6502"/>
    <w:rsid w:val="003D77B3"/>
    <w:rsid w:val="003E2CF7"/>
    <w:rsid w:val="003E2D09"/>
    <w:rsid w:val="003F2168"/>
    <w:rsid w:val="0042353E"/>
    <w:rsid w:val="0042520B"/>
    <w:rsid w:val="004336A7"/>
    <w:rsid w:val="00434F5D"/>
    <w:rsid w:val="004353AC"/>
    <w:rsid w:val="0043544F"/>
    <w:rsid w:val="00443408"/>
    <w:rsid w:val="00447498"/>
    <w:rsid w:val="00453A54"/>
    <w:rsid w:val="0045590B"/>
    <w:rsid w:val="00461DF4"/>
    <w:rsid w:val="00466E28"/>
    <w:rsid w:val="00467E9D"/>
    <w:rsid w:val="00474776"/>
    <w:rsid w:val="004762E5"/>
    <w:rsid w:val="00477819"/>
    <w:rsid w:val="00480C77"/>
    <w:rsid w:val="0048338E"/>
    <w:rsid w:val="0048593C"/>
    <w:rsid w:val="00494878"/>
    <w:rsid w:val="004A3CF0"/>
    <w:rsid w:val="004A4297"/>
    <w:rsid w:val="004A6D8D"/>
    <w:rsid w:val="004B3191"/>
    <w:rsid w:val="004B604C"/>
    <w:rsid w:val="004C31B7"/>
    <w:rsid w:val="004C5CC8"/>
    <w:rsid w:val="004D2F7F"/>
    <w:rsid w:val="004E14B1"/>
    <w:rsid w:val="004E1B09"/>
    <w:rsid w:val="004E3FAB"/>
    <w:rsid w:val="004E5609"/>
    <w:rsid w:val="004E7BCD"/>
    <w:rsid w:val="004F28B7"/>
    <w:rsid w:val="004F4723"/>
    <w:rsid w:val="004F5666"/>
    <w:rsid w:val="004F73A0"/>
    <w:rsid w:val="00503108"/>
    <w:rsid w:val="005074A3"/>
    <w:rsid w:val="00510AE9"/>
    <w:rsid w:val="00511457"/>
    <w:rsid w:val="0051353E"/>
    <w:rsid w:val="005207EB"/>
    <w:rsid w:val="00521CE9"/>
    <w:rsid w:val="00534DD6"/>
    <w:rsid w:val="00535FBC"/>
    <w:rsid w:val="0055078D"/>
    <w:rsid w:val="005543A6"/>
    <w:rsid w:val="0055721E"/>
    <w:rsid w:val="0056035B"/>
    <w:rsid w:val="005636A2"/>
    <w:rsid w:val="00570E38"/>
    <w:rsid w:val="00571980"/>
    <w:rsid w:val="005918EA"/>
    <w:rsid w:val="00596504"/>
    <w:rsid w:val="005A35BF"/>
    <w:rsid w:val="005A3E04"/>
    <w:rsid w:val="005A5178"/>
    <w:rsid w:val="005B7FCA"/>
    <w:rsid w:val="005C1B5F"/>
    <w:rsid w:val="005C22E1"/>
    <w:rsid w:val="005D56A0"/>
    <w:rsid w:val="005D7634"/>
    <w:rsid w:val="005E0C2C"/>
    <w:rsid w:val="00610BA8"/>
    <w:rsid w:val="00613943"/>
    <w:rsid w:val="00614E73"/>
    <w:rsid w:val="00615087"/>
    <w:rsid w:val="00620856"/>
    <w:rsid w:val="006274F2"/>
    <w:rsid w:val="00652612"/>
    <w:rsid w:val="0065341F"/>
    <w:rsid w:val="0065377F"/>
    <w:rsid w:val="00660C3B"/>
    <w:rsid w:val="00663366"/>
    <w:rsid w:val="00664C66"/>
    <w:rsid w:val="006700A0"/>
    <w:rsid w:val="00672A65"/>
    <w:rsid w:val="00673511"/>
    <w:rsid w:val="00676258"/>
    <w:rsid w:val="00682BD0"/>
    <w:rsid w:val="00683612"/>
    <w:rsid w:val="006925F1"/>
    <w:rsid w:val="006939BA"/>
    <w:rsid w:val="00697EB8"/>
    <w:rsid w:val="006A1B34"/>
    <w:rsid w:val="006A467C"/>
    <w:rsid w:val="006B1814"/>
    <w:rsid w:val="006C6734"/>
    <w:rsid w:val="006D0448"/>
    <w:rsid w:val="006D0AFA"/>
    <w:rsid w:val="006D0DED"/>
    <w:rsid w:val="006D5C91"/>
    <w:rsid w:val="006E6C3D"/>
    <w:rsid w:val="006F3D42"/>
    <w:rsid w:val="006F47D6"/>
    <w:rsid w:val="006F4E11"/>
    <w:rsid w:val="006F746C"/>
    <w:rsid w:val="00704E86"/>
    <w:rsid w:val="00705873"/>
    <w:rsid w:val="00707676"/>
    <w:rsid w:val="0071020A"/>
    <w:rsid w:val="00713B5A"/>
    <w:rsid w:val="00714FF9"/>
    <w:rsid w:val="00715A60"/>
    <w:rsid w:val="00716F2C"/>
    <w:rsid w:val="00721FA7"/>
    <w:rsid w:val="00723D9B"/>
    <w:rsid w:val="00727AE5"/>
    <w:rsid w:val="00734781"/>
    <w:rsid w:val="00740D47"/>
    <w:rsid w:val="00754EF6"/>
    <w:rsid w:val="007572BD"/>
    <w:rsid w:val="00762413"/>
    <w:rsid w:val="007654DA"/>
    <w:rsid w:val="007711E5"/>
    <w:rsid w:val="00781B6D"/>
    <w:rsid w:val="00784E64"/>
    <w:rsid w:val="00785E9F"/>
    <w:rsid w:val="007876A2"/>
    <w:rsid w:val="0079150B"/>
    <w:rsid w:val="0079700A"/>
    <w:rsid w:val="007970D9"/>
    <w:rsid w:val="00797B68"/>
    <w:rsid w:val="007A5C7B"/>
    <w:rsid w:val="007A63E8"/>
    <w:rsid w:val="007B0D35"/>
    <w:rsid w:val="007B2315"/>
    <w:rsid w:val="007B5FB7"/>
    <w:rsid w:val="007B6629"/>
    <w:rsid w:val="007C6648"/>
    <w:rsid w:val="007D1279"/>
    <w:rsid w:val="007D3E31"/>
    <w:rsid w:val="007D5350"/>
    <w:rsid w:val="007D662F"/>
    <w:rsid w:val="007E0B6F"/>
    <w:rsid w:val="007E0E28"/>
    <w:rsid w:val="007F1693"/>
    <w:rsid w:val="007F1D07"/>
    <w:rsid w:val="007F69FF"/>
    <w:rsid w:val="007F7829"/>
    <w:rsid w:val="00801136"/>
    <w:rsid w:val="008021A4"/>
    <w:rsid w:val="008047D4"/>
    <w:rsid w:val="008050FB"/>
    <w:rsid w:val="00806D97"/>
    <w:rsid w:val="00811748"/>
    <w:rsid w:val="0081598F"/>
    <w:rsid w:val="008254A8"/>
    <w:rsid w:val="00831B3A"/>
    <w:rsid w:val="0083396C"/>
    <w:rsid w:val="00833B56"/>
    <w:rsid w:val="00834CEA"/>
    <w:rsid w:val="008408DF"/>
    <w:rsid w:val="008707DC"/>
    <w:rsid w:val="008906A6"/>
    <w:rsid w:val="00897689"/>
    <w:rsid w:val="008A0377"/>
    <w:rsid w:val="008A1021"/>
    <w:rsid w:val="008A15F1"/>
    <w:rsid w:val="008A1942"/>
    <w:rsid w:val="008B3167"/>
    <w:rsid w:val="008B6E05"/>
    <w:rsid w:val="008F4549"/>
    <w:rsid w:val="009002C1"/>
    <w:rsid w:val="0090150A"/>
    <w:rsid w:val="0092103C"/>
    <w:rsid w:val="00924C47"/>
    <w:rsid w:val="00935E11"/>
    <w:rsid w:val="009367F0"/>
    <w:rsid w:val="009369AB"/>
    <w:rsid w:val="00940EF7"/>
    <w:rsid w:val="00943AB7"/>
    <w:rsid w:val="00953353"/>
    <w:rsid w:val="0095591E"/>
    <w:rsid w:val="0095648F"/>
    <w:rsid w:val="009577AC"/>
    <w:rsid w:val="00961386"/>
    <w:rsid w:val="0097654D"/>
    <w:rsid w:val="00977F65"/>
    <w:rsid w:val="00991C27"/>
    <w:rsid w:val="009941EB"/>
    <w:rsid w:val="00994ABE"/>
    <w:rsid w:val="0099572A"/>
    <w:rsid w:val="009A0578"/>
    <w:rsid w:val="009A5D6E"/>
    <w:rsid w:val="009A62E9"/>
    <w:rsid w:val="009B21DE"/>
    <w:rsid w:val="009B6A5B"/>
    <w:rsid w:val="009C407C"/>
    <w:rsid w:val="009C636C"/>
    <w:rsid w:val="009D2487"/>
    <w:rsid w:val="009D6AF6"/>
    <w:rsid w:val="009F4A6E"/>
    <w:rsid w:val="009F4E1E"/>
    <w:rsid w:val="009F7BBA"/>
    <w:rsid w:val="00A0138A"/>
    <w:rsid w:val="00A057B1"/>
    <w:rsid w:val="00A07A52"/>
    <w:rsid w:val="00A1124A"/>
    <w:rsid w:val="00A11E8A"/>
    <w:rsid w:val="00A14C57"/>
    <w:rsid w:val="00A235E9"/>
    <w:rsid w:val="00A26200"/>
    <w:rsid w:val="00A316E8"/>
    <w:rsid w:val="00A355C3"/>
    <w:rsid w:val="00A44128"/>
    <w:rsid w:val="00A45D12"/>
    <w:rsid w:val="00A47179"/>
    <w:rsid w:val="00A4756B"/>
    <w:rsid w:val="00A5006C"/>
    <w:rsid w:val="00A513A4"/>
    <w:rsid w:val="00A565FD"/>
    <w:rsid w:val="00A60DBB"/>
    <w:rsid w:val="00A70E7C"/>
    <w:rsid w:val="00A757F8"/>
    <w:rsid w:val="00A76E93"/>
    <w:rsid w:val="00A8627A"/>
    <w:rsid w:val="00A86916"/>
    <w:rsid w:val="00A932AA"/>
    <w:rsid w:val="00AA4BBD"/>
    <w:rsid w:val="00AA7BE5"/>
    <w:rsid w:val="00AB2542"/>
    <w:rsid w:val="00AB57DD"/>
    <w:rsid w:val="00AC083A"/>
    <w:rsid w:val="00AC4AFE"/>
    <w:rsid w:val="00AD2316"/>
    <w:rsid w:val="00AD26B4"/>
    <w:rsid w:val="00AD3A8D"/>
    <w:rsid w:val="00AD4DD6"/>
    <w:rsid w:val="00AD6BFD"/>
    <w:rsid w:val="00AE36BC"/>
    <w:rsid w:val="00AE58CA"/>
    <w:rsid w:val="00AF040A"/>
    <w:rsid w:val="00AF216C"/>
    <w:rsid w:val="00AF303A"/>
    <w:rsid w:val="00AF37ED"/>
    <w:rsid w:val="00AF752C"/>
    <w:rsid w:val="00B079D2"/>
    <w:rsid w:val="00B101E9"/>
    <w:rsid w:val="00B1188C"/>
    <w:rsid w:val="00B12456"/>
    <w:rsid w:val="00B147E7"/>
    <w:rsid w:val="00B3154A"/>
    <w:rsid w:val="00B326EE"/>
    <w:rsid w:val="00B37C06"/>
    <w:rsid w:val="00B43334"/>
    <w:rsid w:val="00B50E96"/>
    <w:rsid w:val="00B51453"/>
    <w:rsid w:val="00B56E9A"/>
    <w:rsid w:val="00B571DB"/>
    <w:rsid w:val="00B60226"/>
    <w:rsid w:val="00B6492F"/>
    <w:rsid w:val="00B71996"/>
    <w:rsid w:val="00B74C8F"/>
    <w:rsid w:val="00B82499"/>
    <w:rsid w:val="00B8556E"/>
    <w:rsid w:val="00B94699"/>
    <w:rsid w:val="00B960D6"/>
    <w:rsid w:val="00BA61BF"/>
    <w:rsid w:val="00BD3302"/>
    <w:rsid w:val="00BD5351"/>
    <w:rsid w:val="00BE1399"/>
    <w:rsid w:val="00BE1D85"/>
    <w:rsid w:val="00BE69C5"/>
    <w:rsid w:val="00BE6ACF"/>
    <w:rsid w:val="00BE7298"/>
    <w:rsid w:val="00BE78F3"/>
    <w:rsid w:val="00BF2E64"/>
    <w:rsid w:val="00BF6158"/>
    <w:rsid w:val="00C02577"/>
    <w:rsid w:val="00C025D4"/>
    <w:rsid w:val="00C105CB"/>
    <w:rsid w:val="00C12D56"/>
    <w:rsid w:val="00C13A82"/>
    <w:rsid w:val="00C16A88"/>
    <w:rsid w:val="00C318EF"/>
    <w:rsid w:val="00C31A0D"/>
    <w:rsid w:val="00C31C23"/>
    <w:rsid w:val="00C32ED0"/>
    <w:rsid w:val="00C40CC2"/>
    <w:rsid w:val="00C4558B"/>
    <w:rsid w:val="00C47A20"/>
    <w:rsid w:val="00C50B3C"/>
    <w:rsid w:val="00C62BF9"/>
    <w:rsid w:val="00C6447C"/>
    <w:rsid w:val="00C73F3F"/>
    <w:rsid w:val="00C770F6"/>
    <w:rsid w:val="00C77228"/>
    <w:rsid w:val="00C84C37"/>
    <w:rsid w:val="00C90FC0"/>
    <w:rsid w:val="00C932A2"/>
    <w:rsid w:val="00C95B9E"/>
    <w:rsid w:val="00CB7236"/>
    <w:rsid w:val="00CC0625"/>
    <w:rsid w:val="00CC202D"/>
    <w:rsid w:val="00CC344C"/>
    <w:rsid w:val="00CD18CE"/>
    <w:rsid w:val="00CD40A5"/>
    <w:rsid w:val="00CD4A2E"/>
    <w:rsid w:val="00CD60B4"/>
    <w:rsid w:val="00CE0D35"/>
    <w:rsid w:val="00CE0D44"/>
    <w:rsid w:val="00CE77B5"/>
    <w:rsid w:val="00CF0529"/>
    <w:rsid w:val="00CF54E8"/>
    <w:rsid w:val="00CF7D96"/>
    <w:rsid w:val="00D00316"/>
    <w:rsid w:val="00D013EB"/>
    <w:rsid w:val="00D0180F"/>
    <w:rsid w:val="00D03450"/>
    <w:rsid w:val="00D15E57"/>
    <w:rsid w:val="00D215A0"/>
    <w:rsid w:val="00D24810"/>
    <w:rsid w:val="00D32757"/>
    <w:rsid w:val="00D332BE"/>
    <w:rsid w:val="00D34103"/>
    <w:rsid w:val="00D40D78"/>
    <w:rsid w:val="00D433E2"/>
    <w:rsid w:val="00D45516"/>
    <w:rsid w:val="00D57CD2"/>
    <w:rsid w:val="00D60A81"/>
    <w:rsid w:val="00D60EDE"/>
    <w:rsid w:val="00D64734"/>
    <w:rsid w:val="00D66A25"/>
    <w:rsid w:val="00D66AC0"/>
    <w:rsid w:val="00D8200F"/>
    <w:rsid w:val="00D83C92"/>
    <w:rsid w:val="00D843D9"/>
    <w:rsid w:val="00D94737"/>
    <w:rsid w:val="00D978E0"/>
    <w:rsid w:val="00DA77CD"/>
    <w:rsid w:val="00DB5372"/>
    <w:rsid w:val="00DC302C"/>
    <w:rsid w:val="00DC37C3"/>
    <w:rsid w:val="00DC4A66"/>
    <w:rsid w:val="00DC66B9"/>
    <w:rsid w:val="00DD2E65"/>
    <w:rsid w:val="00DE4AB8"/>
    <w:rsid w:val="00DE5A25"/>
    <w:rsid w:val="00DF240D"/>
    <w:rsid w:val="00DF246F"/>
    <w:rsid w:val="00E01684"/>
    <w:rsid w:val="00E139BC"/>
    <w:rsid w:val="00E16308"/>
    <w:rsid w:val="00E17B6E"/>
    <w:rsid w:val="00E243EE"/>
    <w:rsid w:val="00E24FA9"/>
    <w:rsid w:val="00E264A6"/>
    <w:rsid w:val="00E32857"/>
    <w:rsid w:val="00E35C5A"/>
    <w:rsid w:val="00E36240"/>
    <w:rsid w:val="00E51A95"/>
    <w:rsid w:val="00E55E5D"/>
    <w:rsid w:val="00E60495"/>
    <w:rsid w:val="00E854AF"/>
    <w:rsid w:val="00E9310B"/>
    <w:rsid w:val="00E968D0"/>
    <w:rsid w:val="00EA1674"/>
    <w:rsid w:val="00EA30E6"/>
    <w:rsid w:val="00EA4DB2"/>
    <w:rsid w:val="00EA635A"/>
    <w:rsid w:val="00EB2255"/>
    <w:rsid w:val="00EC0BBB"/>
    <w:rsid w:val="00EC0C9A"/>
    <w:rsid w:val="00EC2CBA"/>
    <w:rsid w:val="00EC3C84"/>
    <w:rsid w:val="00EC4BD1"/>
    <w:rsid w:val="00EC4C94"/>
    <w:rsid w:val="00ED3CF5"/>
    <w:rsid w:val="00ED3E51"/>
    <w:rsid w:val="00ED555F"/>
    <w:rsid w:val="00ED7A41"/>
    <w:rsid w:val="00EE26C4"/>
    <w:rsid w:val="00EF0D85"/>
    <w:rsid w:val="00EF0FB1"/>
    <w:rsid w:val="00EF31DD"/>
    <w:rsid w:val="00EF4AF5"/>
    <w:rsid w:val="00F053FC"/>
    <w:rsid w:val="00F075F5"/>
    <w:rsid w:val="00F16174"/>
    <w:rsid w:val="00F242B3"/>
    <w:rsid w:val="00F260B5"/>
    <w:rsid w:val="00F31D45"/>
    <w:rsid w:val="00F34C1D"/>
    <w:rsid w:val="00F350F0"/>
    <w:rsid w:val="00F55130"/>
    <w:rsid w:val="00F665A0"/>
    <w:rsid w:val="00F667A8"/>
    <w:rsid w:val="00F81D43"/>
    <w:rsid w:val="00F81F92"/>
    <w:rsid w:val="00F820B5"/>
    <w:rsid w:val="00F82E02"/>
    <w:rsid w:val="00F855D4"/>
    <w:rsid w:val="00F866E8"/>
    <w:rsid w:val="00F94AFC"/>
    <w:rsid w:val="00F97083"/>
    <w:rsid w:val="00F973A3"/>
    <w:rsid w:val="00F97FB3"/>
    <w:rsid w:val="00FA53A7"/>
    <w:rsid w:val="00FA5BFC"/>
    <w:rsid w:val="00FA7D55"/>
    <w:rsid w:val="00FB173C"/>
    <w:rsid w:val="00FB242D"/>
    <w:rsid w:val="00FB724B"/>
    <w:rsid w:val="00FC2E6B"/>
    <w:rsid w:val="00FD51AB"/>
    <w:rsid w:val="00FD62A0"/>
    <w:rsid w:val="00FE2E24"/>
    <w:rsid w:val="00FF3110"/>
    <w:rsid w:val="00FF3AA4"/>
    <w:rsid w:val="00FF7E1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995"/>
    <w:rPr>
      <w:rFonts w:ascii="Tahoma" w:hAnsi="Tahoma" w:cs="Tahoma"/>
      <w:sz w:val="16"/>
      <w:szCs w:val="16"/>
    </w:rPr>
  </w:style>
  <w:style w:type="paragraph" w:styleId="ListBullet">
    <w:name w:val="List Bullet"/>
    <w:basedOn w:val="Normal"/>
    <w:uiPriority w:val="99"/>
    <w:unhideWhenUsed/>
    <w:rsid w:val="005E0C2C"/>
    <w:pPr>
      <w:numPr>
        <w:numId w:val="1"/>
      </w:numPr>
      <w:contextualSpacing/>
    </w:pPr>
  </w:style>
  <w:style w:type="paragraph" w:styleId="NormalWeb">
    <w:name w:val="Normal (Web)"/>
    <w:basedOn w:val="Normal"/>
    <w:rsid w:val="002402B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02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7883"/>
    <w:pPr>
      <w:ind w:left="720"/>
      <w:contextualSpacing/>
    </w:pPr>
  </w:style>
  <w:style w:type="paragraph" w:styleId="FootnoteText">
    <w:name w:val="footnote text"/>
    <w:basedOn w:val="Normal"/>
    <w:link w:val="FootnoteTextChar"/>
    <w:uiPriority w:val="99"/>
    <w:semiHidden/>
    <w:unhideWhenUsed/>
    <w:rsid w:val="00511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457"/>
    <w:rPr>
      <w:sz w:val="20"/>
      <w:szCs w:val="20"/>
    </w:rPr>
  </w:style>
  <w:style w:type="character" w:styleId="FootnoteReference">
    <w:name w:val="footnote reference"/>
    <w:basedOn w:val="DefaultParagraphFont"/>
    <w:uiPriority w:val="99"/>
    <w:semiHidden/>
    <w:unhideWhenUsed/>
    <w:rsid w:val="005114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995"/>
    <w:rPr>
      <w:rFonts w:ascii="Tahoma" w:hAnsi="Tahoma" w:cs="Tahoma"/>
      <w:sz w:val="16"/>
      <w:szCs w:val="16"/>
    </w:rPr>
  </w:style>
  <w:style w:type="paragraph" w:styleId="ListBullet">
    <w:name w:val="List Bullet"/>
    <w:basedOn w:val="Normal"/>
    <w:uiPriority w:val="99"/>
    <w:unhideWhenUsed/>
    <w:rsid w:val="005E0C2C"/>
    <w:pPr>
      <w:numPr>
        <w:numId w:val="1"/>
      </w:numPr>
      <w:contextualSpacing/>
    </w:pPr>
  </w:style>
  <w:style w:type="paragraph" w:styleId="NormalWeb">
    <w:name w:val="Normal (Web)"/>
    <w:basedOn w:val="Normal"/>
    <w:rsid w:val="002402B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02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7883"/>
    <w:pPr>
      <w:ind w:left="720"/>
      <w:contextualSpacing/>
    </w:pPr>
  </w:style>
  <w:style w:type="paragraph" w:styleId="FootnoteText">
    <w:name w:val="footnote text"/>
    <w:basedOn w:val="Normal"/>
    <w:link w:val="FootnoteTextChar"/>
    <w:uiPriority w:val="99"/>
    <w:semiHidden/>
    <w:unhideWhenUsed/>
    <w:rsid w:val="00511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457"/>
    <w:rPr>
      <w:sz w:val="20"/>
      <w:szCs w:val="20"/>
    </w:rPr>
  </w:style>
  <w:style w:type="character" w:styleId="FootnoteReference">
    <w:name w:val="footnote reference"/>
    <w:basedOn w:val="DefaultParagraphFont"/>
    <w:uiPriority w:val="99"/>
    <w:semiHidden/>
    <w:unhideWhenUsed/>
    <w:rsid w:val="00511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21640">
      <w:bodyDiv w:val="1"/>
      <w:marLeft w:val="0"/>
      <w:marRight w:val="0"/>
      <w:marTop w:val="0"/>
      <w:marBottom w:val="0"/>
      <w:divBdr>
        <w:top w:val="none" w:sz="0" w:space="0" w:color="auto"/>
        <w:left w:val="none" w:sz="0" w:space="0" w:color="auto"/>
        <w:bottom w:val="none" w:sz="0" w:space="0" w:color="auto"/>
        <w:right w:val="none" w:sz="0" w:space="0" w:color="auto"/>
      </w:divBdr>
    </w:div>
    <w:div w:id="127939925">
      <w:bodyDiv w:val="1"/>
      <w:marLeft w:val="0"/>
      <w:marRight w:val="0"/>
      <w:marTop w:val="0"/>
      <w:marBottom w:val="0"/>
      <w:divBdr>
        <w:top w:val="none" w:sz="0" w:space="0" w:color="auto"/>
        <w:left w:val="none" w:sz="0" w:space="0" w:color="auto"/>
        <w:bottom w:val="none" w:sz="0" w:space="0" w:color="auto"/>
        <w:right w:val="none" w:sz="0" w:space="0" w:color="auto"/>
      </w:divBdr>
    </w:div>
    <w:div w:id="236937302">
      <w:bodyDiv w:val="1"/>
      <w:marLeft w:val="0"/>
      <w:marRight w:val="0"/>
      <w:marTop w:val="0"/>
      <w:marBottom w:val="0"/>
      <w:divBdr>
        <w:top w:val="none" w:sz="0" w:space="0" w:color="auto"/>
        <w:left w:val="none" w:sz="0" w:space="0" w:color="auto"/>
        <w:bottom w:val="none" w:sz="0" w:space="0" w:color="auto"/>
        <w:right w:val="none" w:sz="0" w:space="0" w:color="auto"/>
      </w:divBdr>
    </w:div>
    <w:div w:id="421150301">
      <w:bodyDiv w:val="1"/>
      <w:marLeft w:val="0"/>
      <w:marRight w:val="0"/>
      <w:marTop w:val="0"/>
      <w:marBottom w:val="0"/>
      <w:divBdr>
        <w:top w:val="none" w:sz="0" w:space="0" w:color="auto"/>
        <w:left w:val="none" w:sz="0" w:space="0" w:color="auto"/>
        <w:bottom w:val="none" w:sz="0" w:space="0" w:color="auto"/>
        <w:right w:val="none" w:sz="0" w:space="0" w:color="auto"/>
      </w:divBdr>
    </w:div>
    <w:div w:id="446512204">
      <w:bodyDiv w:val="1"/>
      <w:marLeft w:val="0"/>
      <w:marRight w:val="0"/>
      <w:marTop w:val="0"/>
      <w:marBottom w:val="0"/>
      <w:divBdr>
        <w:top w:val="none" w:sz="0" w:space="0" w:color="auto"/>
        <w:left w:val="none" w:sz="0" w:space="0" w:color="auto"/>
        <w:bottom w:val="none" w:sz="0" w:space="0" w:color="auto"/>
        <w:right w:val="none" w:sz="0" w:space="0" w:color="auto"/>
      </w:divBdr>
      <w:divsChild>
        <w:div w:id="2091653519">
          <w:marLeft w:val="0"/>
          <w:marRight w:val="0"/>
          <w:marTop w:val="0"/>
          <w:marBottom w:val="0"/>
          <w:divBdr>
            <w:top w:val="none" w:sz="0" w:space="0" w:color="auto"/>
            <w:left w:val="none" w:sz="0" w:space="0" w:color="auto"/>
            <w:bottom w:val="none" w:sz="0" w:space="0" w:color="auto"/>
            <w:right w:val="none" w:sz="0" w:space="0" w:color="auto"/>
          </w:divBdr>
          <w:divsChild>
            <w:div w:id="1949313471">
              <w:marLeft w:val="0"/>
              <w:marRight w:val="0"/>
              <w:marTop w:val="0"/>
              <w:marBottom w:val="0"/>
              <w:divBdr>
                <w:top w:val="none" w:sz="0" w:space="0" w:color="auto"/>
                <w:left w:val="none" w:sz="0" w:space="0" w:color="auto"/>
                <w:bottom w:val="none" w:sz="0" w:space="0" w:color="auto"/>
                <w:right w:val="none" w:sz="0" w:space="0" w:color="auto"/>
              </w:divBdr>
              <w:divsChild>
                <w:div w:id="104618187">
                  <w:marLeft w:val="0"/>
                  <w:marRight w:val="0"/>
                  <w:marTop w:val="0"/>
                  <w:marBottom w:val="0"/>
                  <w:divBdr>
                    <w:top w:val="none" w:sz="0" w:space="0" w:color="auto"/>
                    <w:left w:val="none" w:sz="0" w:space="0" w:color="auto"/>
                    <w:bottom w:val="none" w:sz="0" w:space="0" w:color="auto"/>
                    <w:right w:val="none" w:sz="0" w:space="0" w:color="auto"/>
                  </w:divBdr>
                  <w:divsChild>
                    <w:div w:id="6683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798327">
      <w:bodyDiv w:val="1"/>
      <w:marLeft w:val="0"/>
      <w:marRight w:val="0"/>
      <w:marTop w:val="0"/>
      <w:marBottom w:val="0"/>
      <w:divBdr>
        <w:top w:val="none" w:sz="0" w:space="0" w:color="auto"/>
        <w:left w:val="none" w:sz="0" w:space="0" w:color="auto"/>
        <w:bottom w:val="none" w:sz="0" w:space="0" w:color="auto"/>
        <w:right w:val="none" w:sz="0" w:space="0" w:color="auto"/>
      </w:divBdr>
    </w:div>
    <w:div w:id="557740809">
      <w:bodyDiv w:val="1"/>
      <w:marLeft w:val="0"/>
      <w:marRight w:val="0"/>
      <w:marTop w:val="0"/>
      <w:marBottom w:val="0"/>
      <w:divBdr>
        <w:top w:val="none" w:sz="0" w:space="0" w:color="auto"/>
        <w:left w:val="none" w:sz="0" w:space="0" w:color="auto"/>
        <w:bottom w:val="none" w:sz="0" w:space="0" w:color="auto"/>
        <w:right w:val="none" w:sz="0" w:space="0" w:color="auto"/>
      </w:divBdr>
    </w:div>
    <w:div w:id="560487658">
      <w:bodyDiv w:val="1"/>
      <w:marLeft w:val="0"/>
      <w:marRight w:val="0"/>
      <w:marTop w:val="0"/>
      <w:marBottom w:val="0"/>
      <w:divBdr>
        <w:top w:val="none" w:sz="0" w:space="0" w:color="auto"/>
        <w:left w:val="none" w:sz="0" w:space="0" w:color="auto"/>
        <w:bottom w:val="none" w:sz="0" w:space="0" w:color="auto"/>
        <w:right w:val="none" w:sz="0" w:space="0" w:color="auto"/>
      </w:divBdr>
    </w:div>
    <w:div w:id="583032358">
      <w:bodyDiv w:val="1"/>
      <w:marLeft w:val="0"/>
      <w:marRight w:val="0"/>
      <w:marTop w:val="0"/>
      <w:marBottom w:val="0"/>
      <w:divBdr>
        <w:top w:val="none" w:sz="0" w:space="0" w:color="auto"/>
        <w:left w:val="none" w:sz="0" w:space="0" w:color="auto"/>
        <w:bottom w:val="none" w:sz="0" w:space="0" w:color="auto"/>
        <w:right w:val="none" w:sz="0" w:space="0" w:color="auto"/>
      </w:divBdr>
    </w:div>
    <w:div w:id="613101892">
      <w:bodyDiv w:val="1"/>
      <w:marLeft w:val="0"/>
      <w:marRight w:val="0"/>
      <w:marTop w:val="0"/>
      <w:marBottom w:val="0"/>
      <w:divBdr>
        <w:top w:val="none" w:sz="0" w:space="0" w:color="auto"/>
        <w:left w:val="none" w:sz="0" w:space="0" w:color="auto"/>
        <w:bottom w:val="none" w:sz="0" w:space="0" w:color="auto"/>
        <w:right w:val="none" w:sz="0" w:space="0" w:color="auto"/>
      </w:divBdr>
    </w:div>
    <w:div w:id="679816538">
      <w:bodyDiv w:val="1"/>
      <w:marLeft w:val="0"/>
      <w:marRight w:val="0"/>
      <w:marTop w:val="0"/>
      <w:marBottom w:val="0"/>
      <w:divBdr>
        <w:top w:val="none" w:sz="0" w:space="0" w:color="auto"/>
        <w:left w:val="none" w:sz="0" w:space="0" w:color="auto"/>
        <w:bottom w:val="none" w:sz="0" w:space="0" w:color="auto"/>
        <w:right w:val="none" w:sz="0" w:space="0" w:color="auto"/>
      </w:divBdr>
    </w:div>
    <w:div w:id="865482029">
      <w:bodyDiv w:val="1"/>
      <w:marLeft w:val="0"/>
      <w:marRight w:val="0"/>
      <w:marTop w:val="0"/>
      <w:marBottom w:val="0"/>
      <w:divBdr>
        <w:top w:val="none" w:sz="0" w:space="0" w:color="auto"/>
        <w:left w:val="none" w:sz="0" w:space="0" w:color="auto"/>
        <w:bottom w:val="none" w:sz="0" w:space="0" w:color="auto"/>
        <w:right w:val="none" w:sz="0" w:space="0" w:color="auto"/>
      </w:divBdr>
    </w:div>
    <w:div w:id="1079404800">
      <w:bodyDiv w:val="1"/>
      <w:marLeft w:val="0"/>
      <w:marRight w:val="0"/>
      <w:marTop w:val="0"/>
      <w:marBottom w:val="0"/>
      <w:divBdr>
        <w:top w:val="none" w:sz="0" w:space="0" w:color="auto"/>
        <w:left w:val="none" w:sz="0" w:space="0" w:color="auto"/>
        <w:bottom w:val="none" w:sz="0" w:space="0" w:color="auto"/>
        <w:right w:val="none" w:sz="0" w:space="0" w:color="auto"/>
      </w:divBdr>
    </w:div>
    <w:div w:id="1243762999">
      <w:bodyDiv w:val="1"/>
      <w:marLeft w:val="0"/>
      <w:marRight w:val="0"/>
      <w:marTop w:val="0"/>
      <w:marBottom w:val="0"/>
      <w:divBdr>
        <w:top w:val="none" w:sz="0" w:space="0" w:color="auto"/>
        <w:left w:val="none" w:sz="0" w:space="0" w:color="auto"/>
        <w:bottom w:val="none" w:sz="0" w:space="0" w:color="auto"/>
        <w:right w:val="none" w:sz="0" w:space="0" w:color="auto"/>
      </w:divBdr>
    </w:div>
    <w:div w:id="1306395173">
      <w:bodyDiv w:val="1"/>
      <w:marLeft w:val="0"/>
      <w:marRight w:val="0"/>
      <w:marTop w:val="0"/>
      <w:marBottom w:val="0"/>
      <w:divBdr>
        <w:top w:val="none" w:sz="0" w:space="0" w:color="auto"/>
        <w:left w:val="none" w:sz="0" w:space="0" w:color="auto"/>
        <w:bottom w:val="none" w:sz="0" w:space="0" w:color="auto"/>
        <w:right w:val="none" w:sz="0" w:space="0" w:color="auto"/>
      </w:divBdr>
    </w:div>
    <w:div w:id="1750927400">
      <w:bodyDiv w:val="1"/>
      <w:marLeft w:val="0"/>
      <w:marRight w:val="0"/>
      <w:marTop w:val="0"/>
      <w:marBottom w:val="0"/>
      <w:divBdr>
        <w:top w:val="none" w:sz="0" w:space="0" w:color="auto"/>
        <w:left w:val="none" w:sz="0" w:space="0" w:color="auto"/>
        <w:bottom w:val="none" w:sz="0" w:space="0" w:color="auto"/>
        <w:right w:val="none" w:sz="0" w:space="0" w:color="auto"/>
      </w:divBdr>
    </w:div>
    <w:div w:id="1810705850">
      <w:bodyDiv w:val="1"/>
      <w:marLeft w:val="0"/>
      <w:marRight w:val="0"/>
      <w:marTop w:val="0"/>
      <w:marBottom w:val="0"/>
      <w:divBdr>
        <w:top w:val="none" w:sz="0" w:space="0" w:color="auto"/>
        <w:left w:val="none" w:sz="0" w:space="0" w:color="auto"/>
        <w:bottom w:val="none" w:sz="0" w:space="0" w:color="auto"/>
        <w:right w:val="none" w:sz="0" w:space="0" w:color="auto"/>
      </w:divBdr>
    </w:div>
    <w:div w:id="1943761945">
      <w:bodyDiv w:val="1"/>
      <w:marLeft w:val="0"/>
      <w:marRight w:val="0"/>
      <w:marTop w:val="0"/>
      <w:marBottom w:val="0"/>
      <w:divBdr>
        <w:top w:val="none" w:sz="0" w:space="0" w:color="auto"/>
        <w:left w:val="none" w:sz="0" w:space="0" w:color="auto"/>
        <w:bottom w:val="none" w:sz="0" w:space="0" w:color="auto"/>
        <w:right w:val="none" w:sz="0" w:space="0" w:color="auto"/>
      </w:divBdr>
    </w:div>
    <w:div w:id="20310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1.8938017363214273E-3"/>
          <c:w val="0.95358649789029537"/>
          <c:h val="0.94959234990731056"/>
        </c:manualLayout>
      </c:layout>
      <c:pie3DChart>
        <c:varyColors val="1"/>
        <c:ser>
          <c:idx val="0"/>
          <c:order val="0"/>
          <c:tx>
            <c:strRef>
              <c:f>Sheet1!$B$1</c:f>
              <c:strCache>
                <c:ptCount val="1"/>
                <c:pt idx="0">
                  <c:v>Column1</c:v>
                </c:pt>
              </c:strCache>
            </c:strRef>
          </c:tx>
          <c:explosion val="12"/>
          <c:dLbls>
            <c:dLbl>
              <c:idx val="1"/>
              <c:layout>
                <c:manualLayout>
                  <c:x val="7.66804545001495E-2"/>
                  <c:y val="-0.14480186480186488"/>
                </c:manualLayout>
              </c:layout>
              <c:showLegendKey val="0"/>
              <c:showVal val="1"/>
              <c:showCatName val="1"/>
              <c:showSerName val="0"/>
              <c:showPercent val="1"/>
              <c:showBubbleSize val="0"/>
              <c:extLst>
                <c:ext xmlns:c15="http://schemas.microsoft.com/office/drawing/2012/chart" uri="{CE6537A1-D6FC-4f65-9D91-7224C49458BB}"/>
              </c:extLst>
            </c:dLbl>
            <c:dLbl>
              <c:idx val="2"/>
              <c:layout>
                <c:manualLayout>
                  <c:x val="6.1737931492741203E-3"/>
                  <c:y val="-2.7505827505827796E-3"/>
                </c:manualLayout>
              </c:layout>
              <c:tx>
                <c:rich>
                  <a:bodyPr/>
                  <a:lstStyle/>
                  <a:p>
                    <a:r>
                      <a:rPr lang="lv-LV"/>
                      <a:t>Azartspēļu nodoklis
110</a:t>
                    </a:r>
                    <a:r>
                      <a:rPr lang="lv-LV" baseline="0"/>
                      <a:t> </a:t>
                    </a:r>
                    <a:r>
                      <a:rPr lang="lv-LV"/>
                      <a:t>000 </a:t>
                    </a:r>
                  </a:p>
                </c:rich>
              </c:tx>
              <c:showLegendKey val="0"/>
              <c:showVal val="1"/>
              <c:showCatName val="1"/>
              <c:showSerName val="0"/>
              <c:showPercent val="1"/>
              <c:showBubbleSize val="0"/>
              <c:extLst>
                <c:ext xmlns:c15="http://schemas.microsoft.com/office/drawing/2012/chart" uri="{CE6537A1-D6FC-4f65-9D91-7224C49458BB}"/>
              </c:extLst>
            </c:dLbl>
            <c:dLbl>
              <c:idx val="3"/>
              <c:layout>
                <c:manualLayout>
                  <c:x val="9.6473387820193199E-2"/>
                  <c:y val="-0.31044289044289247"/>
                </c:manualLayout>
              </c:layout>
              <c:showLegendKey val="0"/>
              <c:showVal val="1"/>
              <c:showCatName val="1"/>
              <c:showSerName val="0"/>
              <c:showPercent val="1"/>
              <c:showBubbleSize val="0"/>
              <c:extLst>
                <c:ext xmlns:c15="http://schemas.microsoft.com/office/drawing/2012/chart" uri="{CE6537A1-D6FC-4f65-9D91-7224C49458BB}"/>
              </c:extLst>
            </c:dLbl>
            <c:dLbl>
              <c:idx val="4"/>
              <c:layout>
                <c:manualLayout>
                  <c:x val="-1.9022558888999636E-2"/>
                  <c:y val="-0.14261072261072269"/>
                </c:manualLayout>
              </c:layout>
              <c:showLegendKey val="0"/>
              <c:showVal val="1"/>
              <c:showCatName val="1"/>
              <c:showSerName val="0"/>
              <c:showPercent val="1"/>
              <c:showBubbleSize val="0"/>
              <c:extLst>
                <c:ext xmlns:c15="http://schemas.microsoft.com/office/drawing/2012/chart" uri="{CE6537A1-D6FC-4f65-9D91-7224C49458BB}"/>
              </c:extLst>
            </c:dLbl>
            <c:dLbl>
              <c:idx val="6"/>
              <c:layout>
                <c:manualLayout>
                  <c:x val="-1.3361241237250495E-2"/>
                  <c:y val="0"/>
                </c:manualLayout>
              </c:layou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b="1">
                    <a:latin typeface="+mj-lt"/>
                  </a:defRPr>
                </a:pPr>
                <a:endParaRPr lang="lv-LV"/>
              </a:p>
            </c:txPr>
            <c:showLegendKey val="0"/>
            <c:showVal val="1"/>
            <c:showCatName val="1"/>
            <c:showSerName val="0"/>
            <c:showPercent val="1"/>
            <c:showBubbleSize val="0"/>
            <c:showLeaderLines val="0"/>
            <c:extLst>
              <c:ext xmlns:c15="http://schemas.microsoft.com/office/drawing/2012/chart" uri="{CE6537A1-D6FC-4f65-9D91-7224C49458BB}"/>
            </c:extLst>
          </c:dLbls>
          <c:cat>
            <c:strRef>
              <c:f>Sheet1!$A$2:$A$8</c:f>
              <c:strCache>
                <c:ptCount val="7"/>
                <c:pt idx="0">
                  <c:v>Iedzīvotāju ienākuma nodoklis</c:v>
                </c:pt>
                <c:pt idx="1">
                  <c:v>Īpašuma nodokļi</c:v>
                </c:pt>
                <c:pt idx="2">
                  <c:v>Azartspēļu nodoklis</c:v>
                </c:pt>
                <c:pt idx="3">
                  <c:v>Nenodokļu ienākumi</c:v>
                </c:pt>
                <c:pt idx="4">
                  <c:v>Maksas pakalpojumi</c:v>
                </c:pt>
                <c:pt idx="5">
                  <c:v>Valsts budžeta transferti</c:v>
                </c:pt>
                <c:pt idx="6">
                  <c:v>Pašvaldību budžetu transferti</c:v>
                </c:pt>
              </c:strCache>
            </c:strRef>
          </c:cat>
          <c:val>
            <c:numRef>
              <c:f>Sheet1!$B$2:$B$8</c:f>
              <c:numCache>
                <c:formatCode>General</c:formatCode>
                <c:ptCount val="7"/>
                <c:pt idx="0">
                  <c:v>15643412</c:v>
                </c:pt>
                <c:pt idx="1">
                  <c:v>1863186</c:v>
                </c:pt>
                <c:pt idx="2">
                  <c:v>110000</c:v>
                </c:pt>
                <c:pt idx="3">
                  <c:v>412747</c:v>
                </c:pt>
                <c:pt idx="4">
                  <c:v>883890</c:v>
                </c:pt>
                <c:pt idx="5" formatCode="#,##0">
                  <c:v>12896807</c:v>
                </c:pt>
                <c:pt idx="6">
                  <c:v>499834</c:v>
                </c:pt>
              </c:numCache>
            </c:numRef>
          </c:val>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3.6545247061508614E-2"/>
          <c:w val="1"/>
          <c:h val="0.95475908696324485"/>
        </c:manualLayout>
      </c:layout>
      <c:pie3DChart>
        <c:varyColors val="1"/>
        <c:ser>
          <c:idx val="0"/>
          <c:order val="0"/>
          <c:tx>
            <c:strRef>
              <c:f>Sheet1!$B$1</c:f>
              <c:strCache>
                <c:ptCount val="1"/>
                <c:pt idx="0">
                  <c:v>Sales</c:v>
                </c:pt>
              </c:strCache>
            </c:strRef>
          </c:tx>
          <c:explosion val="25"/>
          <c:dPt>
            <c:idx val="9"/>
            <c:bubble3D val="0"/>
            <c:explosion val="7"/>
          </c:dPt>
          <c:dLbls>
            <c:dLbl>
              <c:idx val="0"/>
              <c:layout>
                <c:manualLayout>
                  <c:x val="-0.12584391951006124"/>
                  <c:y val="7.2463768115942344E-4"/>
                </c:manualLayout>
              </c:layout>
              <c:showLegendKey val="0"/>
              <c:showVal val="1"/>
              <c:showCatName val="1"/>
              <c:showSerName val="0"/>
              <c:showPercent val="1"/>
              <c:showBubbleSize val="0"/>
              <c:extLst>
                <c:ext xmlns:c15="http://schemas.microsoft.com/office/drawing/2012/chart" uri="{CE6537A1-D6FC-4f65-9D91-7224C49458BB}"/>
              </c:extLst>
            </c:dLbl>
            <c:dLbl>
              <c:idx val="1"/>
              <c:layout>
                <c:manualLayout>
                  <c:x val="-0.11442747156605426"/>
                  <c:y val="0.13623188405797157"/>
                </c:manualLayout>
              </c:layout>
              <c:showLegendKey val="0"/>
              <c:showVal val="1"/>
              <c:showCatName val="1"/>
              <c:showSerName val="0"/>
              <c:showPercent val="1"/>
              <c:showBubbleSize val="0"/>
              <c:extLst>
                <c:ext xmlns:c15="http://schemas.microsoft.com/office/drawing/2012/chart" uri="{CE6537A1-D6FC-4f65-9D91-7224C49458BB}"/>
              </c:extLst>
            </c:dLbl>
            <c:dLbl>
              <c:idx val="2"/>
              <c:tx>
                <c:rich>
                  <a:bodyPr/>
                  <a:lstStyle/>
                  <a:p>
                    <a:fld id="{B52FD916-071E-412F-A42B-40CA2B3C9173}" type="CATEGORYNAME">
                      <a:rPr lang="en-US"/>
                      <a:pPr/>
                      <a:t>[CATEGORY NAME]</a:t>
                    </a:fld>
                    <a:r>
                      <a:rPr lang="en-US" baseline="0"/>
                      <a:t>; </a:t>
                    </a:r>
                    <a:fld id="{807665F4-8ECB-456D-B089-F76871685F21}"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3"/>
              <c:layout>
                <c:manualLayout>
                  <c:x val="8.0181802274715663E-2"/>
                  <c:y val="-2.3657651489216024E-2"/>
                </c:manualLayout>
              </c:layout>
              <c:showLegendKey val="0"/>
              <c:showVal val="1"/>
              <c:showCatName val="1"/>
              <c:showSerName val="0"/>
              <c:showPercent val="1"/>
              <c:showBubbleSize val="0"/>
              <c:extLst>
                <c:ext xmlns:c15="http://schemas.microsoft.com/office/drawing/2012/chart" uri="{CE6537A1-D6FC-4f65-9D91-7224C49458BB}"/>
              </c:extLst>
            </c:dLbl>
            <c:dLbl>
              <c:idx val="4"/>
              <c:layout>
                <c:manualLayout>
                  <c:x val="1.8163779527559053E-2"/>
                  <c:y val="5.7594659363231743E-2"/>
                </c:manualLayout>
              </c:layout>
              <c:showLegendKey val="0"/>
              <c:showVal val="1"/>
              <c:showCatName val="1"/>
              <c:showSerName val="0"/>
              <c:showPercent val="1"/>
              <c:showBubbleSize val="0"/>
              <c:extLst>
                <c:ext xmlns:c15="http://schemas.microsoft.com/office/drawing/2012/chart" uri="{CE6537A1-D6FC-4f65-9D91-7224C49458BB}"/>
              </c:extLst>
            </c:dLbl>
            <c:dLbl>
              <c:idx val="5"/>
              <c:layout>
                <c:manualLayout>
                  <c:x val="-1.6296108042265591E-16"/>
                  <c:y val="8.3652858610065023E-2"/>
                </c:manualLayout>
              </c:layout>
              <c:showLegendKey val="0"/>
              <c:showVal val="1"/>
              <c:showCatName val="1"/>
              <c:showSerName val="0"/>
              <c:showPercent val="1"/>
              <c:showBubbleSize val="0"/>
              <c:extLst>
                <c:ext xmlns:c15="http://schemas.microsoft.com/office/drawing/2012/chart" uri="{CE6537A1-D6FC-4f65-9D91-7224C49458BB}"/>
              </c:extLst>
            </c:dLbl>
            <c:dLbl>
              <c:idx val="6"/>
              <c:layout>
                <c:manualLayout>
                  <c:x val="-0.18222222222222262"/>
                  <c:y val="0.28732808398950377"/>
                </c:manualLayout>
              </c:layout>
              <c:showLegendKey val="0"/>
              <c:showVal val="1"/>
              <c:showCatName val="1"/>
              <c:showSerName val="0"/>
              <c:showPercent val="1"/>
              <c:showBubbleSize val="0"/>
              <c:extLst>
                <c:ext xmlns:c15="http://schemas.microsoft.com/office/drawing/2012/chart" uri="{CE6537A1-D6FC-4f65-9D91-7224C49458BB}"/>
              </c:extLst>
            </c:dLbl>
            <c:dLbl>
              <c:idx val="7"/>
              <c:layout>
                <c:manualLayout>
                  <c:x val="-4.2222222222222223E-2"/>
                  <c:y val="0.30816090380006844"/>
                </c:manualLayout>
              </c:layout>
              <c:tx>
                <c:rich>
                  <a:bodyPr/>
                  <a:lstStyle/>
                  <a:p>
                    <a:r>
                      <a:rPr lang="en-US"/>
                      <a:t>Veselība
151 870</a:t>
                    </a:r>
                  </a:p>
                </c:rich>
              </c:tx>
              <c:showLegendKey val="0"/>
              <c:showVal val="1"/>
              <c:showCatName val="1"/>
              <c:showSerName val="0"/>
              <c:showPercent val="1"/>
              <c:showBubbleSize val="0"/>
              <c:extLst>
                <c:ext xmlns:c15="http://schemas.microsoft.com/office/drawing/2012/chart" uri="{CE6537A1-D6FC-4f65-9D91-7224C49458BB}"/>
              </c:extLst>
            </c:dLbl>
            <c:dLbl>
              <c:idx val="8"/>
              <c:layout>
                <c:manualLayout>
                  <c:x val="-8.8372703412073483E-3"/>
                  <c:y val="-3.7189546958804061E-2"/>
                </c:manualLayout>
              </c:layout>
              <c:tx>
                <c:rich>
                  <a:bodyPr/>
                  <a:lstStyle/>
                  <a:p>
                    <a:r>
                      <a:rPr lang="en-US" sz="900" baseline="0" dirty="0" smtClean="0"/>
                      <a:t>NVO, kultūra un sports</a:t>
                    </a:r>
                    <a:r>
                      <a:rPr lang="en-US" sz="900" dirty="0"/>
                      <a:t>
3 445 107</a:t>
                    </a:r>
                  </a:p>
                  <a:p>
                    <a:r>
                      <a:rPr lang="en-US" sz="900" dirty="0"/>
                      <a:t>
10%</a:t>
                    </a:r>
                  </a:p>
                </c:rich>
              </c:tx>
              <c:showLegendKey val="0"/>
              <c:showVal val="1"/>
              <c:showCatName val="1"/>
              <c:showSerName val="0"/>
              <c:showPercent val="1"/>
              <c:showBubbleSize val="0"/>
              <c:extLst>
                <c:ext xmlns:c15="http://schemas.microsoft.com/office/drawing/2012/chart" uri="{CE6537A1-D6FC-4f65-9D91-7224C49458BB}"/>
              </c:extLst>
            </c:dLbl>
            <c:dLbl>
              <c:idx val="10"/>
              <c:layout>
                <c:manualLayout>
                  <c:x val="-5.4974278215223112E-2"/>
                  <c:y val="6.0559853931302067E-2"/>
                </c:manualLayout>
              </c:layou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900" b="1" i="0" baseline="0">
                    <a:latin typeface="Cambria" pitchFamily="18" charset="0"/>
                  </a:defRPr>
                </a:pPr>
                <a:endParaRPr lang="lv-LV"/>
              </a:p>
            </c:txPr>
            <c:showLegendKey val="0"/>
            <c:showVal val="1"/>
            <c:showCatName val="1"/>
            <c:showSerName val="0"/>
            <c:showPercent val="1"/>
            <c:showBubbleSize val="0"/>
            <c:showLeaderLines val="1"/>
            <c:extLst>
              <c:ext xmlns:c15="http://schemas.microsoft.com/office/drawing/2012/chart" uri="{CE6537A1-D6FC-4f65-9D91-7224C49458BB}"/>
            </c:extLst>
          </c:dLbls>
          <c:cat>
            <c:strRef>
              <c:f>Sheet1!$A$2:$A$12</c:f>
              <c:strCache>
                <c:ptCount val="11"/>
                <c:pt idx="0">
                  <c:v>Pārvalde</c:v>
                </c:pt>
                <c:pt idx="1">
                  <c:v>Procentu maksājumi par aizņēmumiem</c:v>
                </c:pt>
                <c:pt idx="2">
                  <c:v>Rezerves fonds</c:v>
                </c:pt>
                <c:pt idx="3">
                  <c:v>Sabiedriskā kārtība un drošība</c:v>
                </c:pt>
                <c:pt idx="4">
                  <c:v>Ekonomiskā darbība</c:v>
                </c:pt>
                <c:pt idx="5">
                  <c:v>Vides aizsardzība</c:v>
                </c:pt>
                <c:pt idx="6">
                  <c:v>Teritoriju un mājokļu apsaimniekošana</c:v>
                </c:pt>
                <c:pt idx="7">
                  <c:v>Veselība</c:v>
                </c:pt>
                <c:pt idx="8">
                  <c:v>Atpūta un kultūra</c:v>
                </c:pt>
                <c:pt idx="9">
                  <c:v>Izglītība</c:v>
                </c:pt>
                <c:pt idx="10">
                  <c:v>Sociālā aizsardzība</c:v>
                </c:pt>
              </c:strCache>
            </c:strRef>
          </c:cat>
          <c:val>
            <c:numRef>
              <c:f>Sheet1!$B$2:$B$12</c:f>
              <c:numCache>
                <c:formatCode>#,##0</c:formatCode>
                <c:ptCount val="11"/>
                <c:pt idx="0">
                  <c:v>2642375</c:v>
                </c:pt>
                <c:pt idx="1">
                  <c:v>72000</c:v>
                </c:pt>
                <c:pt idx="2">
                  <c:v>100000</c:v>
                </c:pt>
                <c:pt idx="3">
                  <c:v>523780</c:v>
                </c:pt>
                <c:pt idx="4">
                  <c:v>1298830</c:v>
                </c:pt>
                <c:pt idx="5">
                  <c:v>412014</c:v>
                </c:pt>
                <c:pt idx="6">
                  <c:v>2446578</c:v>
                </c:pt>
                <c:pt idx="7">
                  <c:v>151870</c:v>
                </c:pt>
                <c:pt idx="8">
                  <c:v>3455107</c:v>
                </c:pt>
                <c:pt idx="9">
                  <c:v>21709043</c:v>
                </c:pt>
                <c:pt idx="10">
                  <c:v>2952234</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txPr>
    <a:bodyPr/>
    <a:lstStyle/>
    <a:p>
      <a:pPr>
        <a:defRPr sz="1800"/>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465806357538641E-3"/>
          <c:y val="7.553074117947646E-2"/>
          <c:w val="0.91906435871832437"/>
          <c:h val="0.89678522350196599"/>
        </c:manualLayout>
      </c:layout>
      <c:pie3DChart>
        <c:varyColors val="1"/>
        <c:ser>
          <c:idx val="0"/>
          <c:order val="0"/>
          <c:tx>
            <c:strRef>
              <c:f>Sheet1!$B$1</c:f>
              <c:strCache>
                <c:ptCount val="1"/>
                <c:pt idx="0">
                  <c:v>Sales</c:v>
                </c:pt>
              </c:strCache>
            </c:strRef>
          </c:tx>
          <c:explosion val="25"/>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1">
                  <a:lumMod val="60000"/>
                </a:schemeClr>
              </a:solidFill>
              <a:ln w="25400">
                <a:solidFill>
                  <a:schemeClr val="lt1"/>
                </a:solidFill>
              </a:ln>
              <a:effectLst/>
              <a:sp3d contourW="25400">
                <a:contourClr>
                  <a:schemeClr val="lt1"/>
                </a:contourClr>
              </a:sp3d>
            </c:spPr>
          </c:dPt>
          <c:dLbls>
            <c:dLbl>
              <c:idx val="0"/>
              <c:tx>
                <c:rich>
                  <a:bodyPr/>
                  <a:lstStyle/>
                  <a:p>
                    <a:fld id="{82808A73-1478-4522-8D79-DD1833EC7A39}" type="CATEGORYNAME">
                      <a:rPr lang="en-US" sz="1100" b="1">
                        <a:latin typeface="Times New Roman" panose="02020603050405020304" pitchFamily="18" charset="0"/>
                        <a:cs typeface="Times New Roman" panose="02020603050405020304" pitchFamily="18" charset="0"/>
                      </a:rPr>
                      <a:pPr/>
                      <a:t>[CATEGORY NAME]</a:t>
                    </a:fld>
                    <a:r>
                      <a:rPr lang="en-US" sz="1100" b="1">
                        <a:latin typeface="Times New Roman" panose="02020603050405020304" pitchFamily="18" charset="0"/>
                        <a:cs typeface="Times New Roman" panose="02020603050405020304" pitchFamily="18" charset="0"/>
                      </a:rPr>
                      <a:t>; </a:t>
                    </a:r>
                  </a:p>
                  <a:p>
                    <a:fld id="{6C0F2626-5B58-441D-8513-5029CCD53F0B}" type="VALUE">
                      <a:rPr lang="en-US" sz="1100" b="1">
                        <a:latin typeface="Times New Roman" panose="02020603050405020304" pitchFamily="18" charset="0"/>
                        <a:cs typeface="Times New Roman" panose="02020603050405020304" pitchFamily="18" charset="0"/>
                      </a:rPr>
                      <a:pPr/>
                      <a:t>[VALUE]</a:t>
                    </a:fld>
                    <a:r>
                      <a:rPr lang="en-US" sz="1100" b="1">
                        <a:latin typeface="Times New Roman" panose="02020603050405020304" pitchFamily="18" charset="0"/>
                        <a:cs typeface="Times New Roman" panose="02020603050405020304" pitchFamily="18" charset="0"/>
                      </a:rPr>
                      <a:t>; </a:t>
                    </a:r>
                    <a:fld id="{E138219C-B4C3-4FF6-AB90-3081C240FB11}" type="PERCENTAGE">
                      <a:rPr lang="en-US" sz="1100" b="1">
                        <a:latin typeface="Times New Roman" panose="02020603050405020304" pitchFamily="18" charset="0"/>
                        <a:cs typeface="Times New Roman" panose="02020603050405020304" pitchFamily="18" charset="0"/>
                      </a:rPr>
                      <a:pPr/>
                      <a:t>[PERCENTAGE]</a:t>
                    </a:fld>
                    <a:endParaRPr lang="en-US" sz="1100" b="1">
                      <a:latin typeface="Times New Roman" panose="02020603050405020304" pitchFamily="18" charset="0"/>
                      <a:cs typeface="Times New Roman" panose="02020603050405020304" pitchFamily="18" charset="0"/>
                    </a:endParaRPr>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fld id="{DE066D60-B341-436B-BD92-F3BA207BFA13}" type="CATEGORYNAME">
                      <a:rPr lang="en-US" sz="1100" b="1">
                        <a:latin typeface="Times New Roman" panose="02020603050405020304" pitchFamily="18" charset="0"/>
                        <a:cs typeface="Times New Roman" panose="02020603050405020304" pitchFamily="18" charset="0"/>
                      </a:rPr>
                      <a:pPr/>
                      <a:t>[CATEGORY NAME]</a:t>
                    </a:fld>
                    <a:r>
                      <a:rPr lang="en-US" sz="1100" b="1">
                        <a:latin typeface="Times New Roman" panose="02020603050405020304" pitchFamily="18" charset="0"/>
                        <a:cs typeface="Times New Roman" panose="02020603050405020304" pitchFamily="18" charset="0"/>
                      </a:rPr>
                      <a:t>;</a:t>
                    </a:r>
                  </a:p>
                  <a:p>
                    <a:r>
                      <a:rPr lang="en-US" sz="1100" b="1">
                        <a:latin typeface="Times New Roman" panose="02020603050405020304" pitchFamily="18" charset="0"/>
                        <a:cs typeface="Times New Roman" panose="02020603050405020304" pitchFamily="18" charset="0"/>
                      </a:rPr>
                      <a:t> </a:t>
                    </a:r>
                    <a:fld id="{DA169D78-3DDF-4D43-97EA-CFE96F4EC6DD}" type="VALUE">
                      <a:rPr lang="en-US" sz="1100" b="1">
                        <a:latin typeface="Times New Roman" panose="02020603050405020304" pitchFamily="18" charset="0"/>
                        <a:cs typeface="Times New Roman" panose="02020603050405020304" pitchFamily="18" charset="0"/>
                      </a:rPr>
                      <a:pPr/>
                      <a:t>[VALUE]</a:t>
                    </a:fld>
                    <a:r>
                      <a:rPr lang="en-US" sz="1100" b="1">
                        <a:latin typeface="Times New Roman" panose="02020603050405020304" pitchFamily="18" charset="0"/>
                        <a:cs typeface="Times New Roman" panose="02020603050405020304" pitchFamily="18" charset="0"/>
                      </a:rPr>
                      <a:t>; </a:t>
                    </a:r>
                    <a:fld id="{B3C7532F-B967-47FB-8080-9D3C06130226}" type="PERCENTAGE">
                      <a:rPr lang="en-US" sz="1100" b="1">
                        <a:latin typeface="Times New Roman" panose="02020603050405020304" pitchFamily="18" charset="0"/>
                        <a:cs typeface="Times New Roman" panose="02020603050405020304" pitchFamily="18" charset="0"/>
                      </a:rPr>
                      <a:pPr/>
                      <a:t>[PERCENTAGE]</a:t>
                    </a:fld>
                    <a:endParaRPr lang="en-US" sz="1100" b="1">
                      <a:latin typeface="Times New Roman" panose="02020603050405020304" pitchFamily="18" charset="0"/>
                      <a:cs typeface="Times New Roman" panose="02020603050405020304" pitchFamily="18" charset="0"/>
                    </a:endParaRPr>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2"/>
              <c:layout>
                <c:manualLayout>
                  <c:x val="0"/>
                  <c:y val="0"/>
                </c:manualLayout>
              </c:layout>
              <c:tx>
                <c:rich>
                  <a:bodyPr/>
                  <a:lstStyle/>
                  <a:p>
                    <a:fld id="{21551950-F6C3-46AB-931B-8088587B4087}" type="CATEGORYNAME">
                      <a:rPr lang="en-US" sz="1100" b="1">
                        <a:latin typeface="Times New Roman" panose="02020603050405020304" pitchFamily="18" charset="0"/>
                        <a:cs typeface="Times New Roman" panose="02020603050405020304" pitchFamily="18" charset="0"/>
                      </a:rPr>
                      <a:pPr/>
                      <a:t>[CATEGORY NAME]</a:t>
                    </a:fld>
                    <a:r>
                      <a:rPr lang="en-US" sz="1100" b="1">
                        <a:latin typeface="Times New Roman" panose="02020603050405020304" pitchFamily="18" charset="0"/>
                        <a:cs typeface="Times New Roman" panose="02020603050405020304" pitchFamily="18" charset="0"/>
                      </a:rPr>
                      <a:t>; </a:t>
                    </a:r>
                  </a:p>
                  <a:p>
                    <a:fld id="{A225A87C-456A-4F46-B63A-BCA7C8F8D7AE}" type="VALUE">
                      <a:rPr lang="en-US" sz="1100" b="1">
                        <a:latin typeface="Times New Roman" panose="02020603050405020304" pitchFamily="18" charset="0"/>
                        <a:cs typeface="Times New Roman" panose="02020603050405020304" pitchFamily="18" charset="0"/>
                      </a:rPr>
                      <a:pPr/>
                      <a:t>[VALUE]</a:t>
                    </a:fld>
                    <a:r>
                      <a:rPr lang="en-US" sz="1100" b="1">
                        <a:latin typeface="Times New Roman" panose="02020603050405020304" pitchFamily="18" charset="0"/>
                        <a:cs typeface="Times New Roman" panose="02020603050405020304" pitchFamily="18" charset="0"/>
                      </a:rPr>
                      <a:t>; </a:t>
                    </a:r>
                    <a:fld id="{EC39AB98-ED93-4811-8106-AD2C18A39D7B}" type="PERCENTAGE">
                      <a:rPr lang="en-US" sz="1100" b="1">
                        <a:latin typeface="Times New Roman" panose="02020603050405020304" pitchFamily="18" charset="0"/>
                        <a:cs typeface="Times New Roman" panose="02020603050405020304" pitchFamily="18" charset="0"/>
                      </a:rPr>
                      <a:pPr/>
                      <a:t>[PERCENTAGE]</a:t>
                    </a:fld>
                    <a:endParaRPr lang="en-US" sz="1100" b="1">
                      <a:latin typeface="Times New Roman" panose="02020603050405020304" pitchFamily="18" charset="0"/>
                      <a:cs typeface="Times New Roman" panose="02020603050405020304" pitchFamily="18" charset="0"/>
                    </a:endParaRP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Lst>
            </c:dLbl>
            <c:dLbl>
              <c:idx val="5"/>
              <c:layout>
                <c:manualLayout>
                  <c:x val="2.0833333333333332E-2"/>
                  <c:y val="-0.16592920353982302"/>
                </c:manualLayout>
              </c:layout>
              <c:dLblPos val="bestFit"/>
              <c:showLegendKey val="0"/>
              <c:showVal val="1"/>
              <c:showCatName val="1"/>
              <c:showSerName val="0"/>
              <c:showPercent val="1"/>
              <c:showBubbleSize val="0"/>
              <c:extLst>
                <c:ext xmlns:c15="http://schemas.microsoft.com/office/drawing/2012/chart" uri="{CE6537A1-D6FC-4f65-9D91-7224C49458BB}"/>
              </c:extLst>
            </c:dLbl>
            <c:dLbl>
              <c:idx val="6"/>
              <c:tx>
                <c:rich>
                  <a:bodyPr/>
                  <a:lstStyle/>
                  <a:p>
                    <a:fld id="{DD560292-2175-44BC-BCC8-D36C59B8A6FA}" type="CATEGORYNAME">
                      <a:rPr lang="en-US" sz="1100" b="1">
                        <a:latin typeface="Times New Roman" panose="02020603050405020304" pitchFamily="18" charset="0"/>
                        <a:cs typeface="Times New Roman" panose="02020603050405020304" pitchFamily="18" charset="0"/>
                      </a:rPr>
                      <a:pPr/>
                      <a:t>[CATEGORY NAME]</a:t>
                    </a:fld>
                    <a:r>
                      <a:rPr lang="en-US" sz="1100" b="1">
                        <a:latin typeface="Times New Roman" panose="02020603050405020304" pitchFamily="18" charset="0"/>
                        <a:cs typeface="Times New Roman" panose="02020603050405020304" pitchFamily="18" charset="0"/>
                      </a:rPr>
                      <a:t>; </a:t>
                    </a:r>
                  </a:p>
                  <a:p>
                    <a:fld id="{CBAF3F0F-E710-4191-B774-CEA2BED432D4}" type="VALUE">
                      <a:rPr lang="en-US" sz="1100" b="1">
                        <a:latin typeface="Times New Roman" panose="02020603050405020304" pitchFamily="18" charset="0"/>
                        <a:cs typeface="Times New Roman" panose="02020603050405020304" pitchFamily="18" charset="0"/>
                      </a:rPr>
                      <a:pPr/>
                      <a:t>[VALUE]</a:t>
                    </a:fld>
                    <a:r>
                      <a:rPr lang="en-US" sz="1100" b="1">
                        <a:latin typeface="Times New Roman" panose="02020603050405020304" pitchFamily="18" charset="0"/>
                        <a:cs typeface="Times New Roman" panose="02020603050405020304" pitchFamily="18" charset="0"/>
                      </a:rPr>
                      <a:t>; </a:t>
                    </a:r>
                    <a:fld id="{394647A4-FD8D-4887-A5F3-82518673B5D0}" type="PERCENTAGE">
                      <a:rPr lang="en-US" sz="1100" b="1">
                        <a:latin typeface="Times New Roman" panose="02020603050405020304" pitchFamily="18" charset="0"/>
                        <a:cs typeface="Times New Roman" panose="02020603050405020304" pitchFamily="18" charset="0"/>
                      </a:rPr>
                      <a:pPr/>
                      <a:t>[PERCENTAGE]</a:t>
                    </a:fld>
                    <a:endParaRPr lang="en-US" sz="1100" b="1">
                      <a:latin typeface="Times New Roman" panose="02020603050405020304" pitchFamily="18" charset="0"/>
                      <a:cs typeface="Times New Roman" panose="02020603050405020304" pitchFamily="18" charset="0"/>
                    </a:endParaRPr>
                  </a:p>
                </c:rich>
              </c:tx>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Irlava-Lestene</c:v>
                </c:pt>
                <c:pt idx="1">
                  <c:v>Pūre-Jaunsāti</c:v>
                </c:pt>
                <c:pt idx="2">
                  <c:v>Sēme-Zentene</c:v>
                </c:pt>
                <c:pt idx="3">
                  <c:v>Slampe-Džūkste</c:v>
                </c:pt>
                <c:pt idx="4">
                  <c:v>Tume-Degole</c:v>
                </c:pt>
                <c:pt idx="5">
                  <c:v>Tukums</c:v>
                </c:pt>
                <c:pt idx="6">
                  <c:v>Rezerves fonds</c:v>
                </c:pt>
              </c:strCache>
            </c:strRef>
          </c:cat>
          <c:val>
            <c:numRef>
              <c:f>Sheet1!$B$2:$B$8</c:f>
              <c:numCache>
                <c:formatCode>#,##0</c:formatCode>
                <c:ptCount val="7"/>
                <c:pt idx="0">
                  <c:v>67796</c:v>
                </c:pt>
                <c:pt idx="1">
                  <c:v>81731</c:v>
                </c:pt>
                <c:pt idx="2">
                  <c:v>54408</c:v>
                </c:pt>
                <c:pt idx="3">
                  <c:v>111984</c:v>
                </c:pt>
                <c:pt idx="4" formatCode="General">
                  <c:v>66876</c:v>
                </c:pt>
                <c:pt idx="5">
                  <c:v>348672</c:v>
                </c:pt>
                <c:pt idx="6">
                  <c:v>13504</c:v>
                </c:pt>
              </c:numCache>
            </c:numRef>
          </c:val>
        </c:ser>
        <c:dLbls>
          <c:dLblPos val="outEnd"/>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0AEEE-8715-4AA8-B0FE-512CC4E2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9</Pages>
  <Words>14415</Words>
  <Characters>8218</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dc:creator>
  <cp:keywords/>
  <dc:description/>
  <cp:lastModifiedBy>Anda.Andzane</cp:lastModifiedBy>
  <cp:revision>167</cp:revision>
  <cp:lastPrinted>2017-01-20T06:57:00Z</cp:lastPrinted>
  <dcterms:created xsi:type="dcterms:W3CDTF">2016-01-24T12:55:00Z</dcterms:created>
  <dcterms:modified xsi:type="dcterms:W3CDTF">2017-01-27T09:57:00Z</dcterms:modified>
</cp:coreProperties>
</file>