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B64" w:rsidRPr="000A0B64" w:rsidRDefault="000A0B64" w:rsidP="000A0B64">
      <w:pPr>
        <w:jc w:val="center"/>
        <w:rPr>
          <w:b/>
          <w:sz w:val="48"/>
          <w:szCs w:val="48"/>
          <w:lang w:val="lv-LV"/>
        </w:rPr>
      </w:pPr>
      <w:r w:rsidRPr="000A0B64">
        <w:rPr>
          <w:noProof/>
          <w:sz w:val="20"/>
          <w:lang w:val="en-GB" w:eastAsia="en-GB"/>
        </w:rPr>
        <w:drawing>
          <wp:anchor distT="0" distB="0" distL="114300" distR="114300" simplePos="0" relativeHeight="251666432" behindDoc="1" locked="0" layoutInCell="1" allowOverlap="1" wp14:anchorId="6F1BD1AB" wp14:editId="19477DE4">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0B64">
        <w:rPr>
          <w:b/>
          <w:sz w:val="48"/>
          <w:szCs w:val="48"/>
          <w:lang w:val="lv-LV"/>
        </w:rPr>
        <w:t>TUKUMA NOVADA DOME</w:t>
      </w:r>
    </w:p>
    <w:p w:rsidR="000A0B64" w:rsidRPr="000A0B64" w:rsidRDefault="000A0B64" w:rsidP="000A0B64">
      <w:pPr>
        <w:jc w:val="center"/>
        <w:rPr>
          <w:b/>
          <w:sz w:val="28"/>
          <w:szCs w:val="28"/>
          <w:lang w:val="lv-LV" w:eastAsia="en-US"/>
        </w:rPr>
      </w:pPr>
    </w:p>
    <w:p w:rsidR="000A0B64" w:rsidRPr="000A0B64" w:rsidRDefault="000A0B64" w:rsidP="000A0B64">
      <w:pPr>
        <w:jc w:val="center"/>
        <w:rPr>
          <w:b/>
          <w:sz w:val="28"/>
          <w:szCs w:val="28"/>
          <w:lang w:val="lv-LV" w:eastAsia="en-US"/>
        </w:rPr>
      </w:pPr>
      <w:r w:rsidRPr="000A0B64">
        <w:rPr>
          <w:b/>
          <w:sz w:val="28"/>
          <w:szCs w:val="28"/>
          <w:lang w:val="lv-LV" w:eastAsia="en-US"/>
        </w:rPr>
        <w:t xml:space="preserve">IZGLĪTĪBAS, KULTŪRAS UN SPORTA KOMITEJA </w:t>
      </w:r>
    </w:p>
    <w:p w:rsidR="000A0B64" w:rsidRPr="000A0B64" w:rsidRDefault="000A0B64" w:rsidP="000A0B64">
      <w:pPr>
        <w:jc w:val="center"/>
        <w:rPr>
          <w:color w:val="1C1C1C"/>
          <w:sz w:val="22"/>
          <w:szCs w:val="22"/>
          <w:lang w:val="lv-LV"/>
        </w:rPr>
      </w:pPr>
    </w:p>
    <w:p w:rsidR="000A0B64" w:rsidRPr="000A0B64" w:rsidRDefault="000A0B64" w:rsidP="000A0B64">
      <w:pPr>
        <w:rPr>
          <w:sz w:val="16"/>
          <w:szCs w:val="16"/>
          <w:lang w:val="lv-LV"/>
        </w:rPr>
      </w:pPr>
      <w:r w:rsidRPr="000A0B64">
        <w:rPr>
          <w:noProof/>
          <w:sz w:val="16"/>
          <w:szCs w:val="16"/>
          <w:lang w:val="en-GB" w:eastAsia="en-GB"/>
        </w:rPr>
        <mc:AlternateContent>
          <mc:Choice Requires="wps">
            <w:drawing>
              <wp:anchor distT="0" distB="0" distL="114300" distR="114300" simplePos="0" relativeHeight="251664384" behindDoc="0" locked="0" layoutInCell="1" allowOverlap="1" wp14:anchorId="66B5558A" wp14:editId="559F746F">
                <wp:simplePos x="0" y="0"/>
                <wp:positionH relativeFrom="column">
                  <wp:posOffset>1600200</wp:posOffset>
                </wp:positionH>
                <wp:positionV relativeFrom="paragraph">
                  <wp:posOffset>3657600</wp:posOffset>
                </wp:positionV>
                <wp:extent cx="0" cy="0"/>
                <wp:effectExtent l="13335" t="12700" r="571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0A0B64">
        <w:rPr>
          <w:noProof/>
          <w:sz w:val="16"/>
          <w:szCs w:val="16"/>
          <w:lang w:val="en-GB" w:eastAsia="en-GB"/>
        </w:rPr>
        <mc:AlternateContent>
          <mc:Choice Requires="wps">
            <w:drawing>
              <wp:anchor distT="0" distB="0" distL="114300" distR="114300" simplePos="0" relativeHeight="251663360" behindDoc="0" locked="0" layoutInCell="1" allowOverlap="1" wp14:anchorId="6142B657" wp14:editId="575A16A6">
                <wp:simplePos x="0" y="0"/>
                <wp:positionH relativeFrom="column">
                  <wp:posOffset>1600200</wp:posOffset>
                </wp:positionH>
                <wp:positionV relativeFrom="paragraph">
                  <wp:posOffset>3657600</wp:posOffset>
                </wp:positionV>
                <wp:extent cx="0" cy="0"/>
                <wp:effectExtent l="13335" t="12700" r="5715" b="63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O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CnJU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TrA4XAgAAMgQAAA4AAAAAAAAAAAAAAAAALgIAAGRycy9lMm9Eb2MueG1sUEsBAi0AFAAGAAgA&#10;AAAhAPfhhzPcAAAACwEAAA8AAAAAAAAAAAAAAAAAcQQAAGRycy9kb3ducmV2LnhtbFBLBQYAAAAA&#10;BAAEAPMAAAB6BQAAAAA=&#10;"/>
            </w:pict>
          </mc:Fallback>
        </mc:AlternateContent>
      </w:r>
      <w:r w:rsidRPr="000A0B64">
        <w:rPr>
          <w:noProof/>
          <w:sz w:val="16"/>
          <w:szCs w:val="16"/>
          <w:lang w:val="en-GB" w:eastAsia="en-GB"/>
        </w:rPr>
        <mc:AlternateContent>
          <mc:Choice Requires="wps">
            <w:drawing>
              <wp:anchor distT="0" distB="0" distL="114300" distR="114300" simplePos="0" relativeHeight="251662336" behindDoc="0" locked="0" layoutInCell="1" allowOverlap="1" wp14:anchorId="3623BF7D" wp14:editId="1475E871">
                <wp:simplePos x="0" y="0"/>
                <wp:positionH relativeFrom="column">
                  <wp:posOffset>1600200</wp:posOffset>
                </wp:positionH>
                <wp:positionV relativeFrom="paragraph">
                  <wp:posOffset>3657600</wp:posOffset>
                </wp:positionV>
                <wp:extent cx="0" cy="0"/>
                <wp:effectExtent l="13335" t="12700" r="5715" b="63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FV8cXAgAAMgQAAA4AAAAAAAAAAAAAAAAALgIAAGRycy9lMm9Eb2MueG1sUEsBAi0AFAAGAAgA&#10;AAAhAPfhhzPcAAAACwEAAA8AAAAAAAAAAAAAAAAAcQQAAGRycy9kb3ducmV2LnhtbFBLBQYAAAAA&#10;BAAEAPMAAAB6BQAAAAA=&#10;"/>
            </w:pict>
          </mc:Fallback>
        </mc:AlternateContent>
      </w:r>
    </w:p>
    <w:p w:rsidR="000A0B64" w:rsidRPr="000A0B64" w:rsidRDefault="000A0B64" w:rsidP="000A0B64">
      <w:pPr>
        <w:rPr>
          <w:sz w:val="20"/>
          <w:szCs w:val="36"/>
          <w:lang w:val="lv-LV"/>
        </w:rPr>
      </w:pPr>
      <w:r w:rsidRPr="000A0B64">
        <w:rPr>
          <w:noProof/>
          <w:sz w:val="16"/>
          <w:szCs w:val="16"/>
          <w:lang w:val="en-GB" w:eastAsia="en-GB"/>
        </w:rPr>
        <mc:AlternateContent>
          <mc:Choice Requires="wps">
            <w:drawing>
              <wp:anchor distT="0" distB="0" distL="114300" distR="114300" simplePos="0" relativeHeight="251665408" behindDoc="0" locked="0" layoutInCell="1" allowOverlap="1" wp14:anchorId="0A62FC37" wp14:editId="12727032">
                <wp:simplePos x="0" y="0"/>
                <wp:positionH relativeFrom="column">
                  <wp:posOffset>-180975</wp:posOffset>
                </wp:positionH>
                <wp:positionV relativeFrom="paragraph">
                  <wp:posOffset>1270</wp:posOffset>
                </wp:positionV>
                <wp:extent cx="6127115" cy="0"/>
                <wp:effectExtent l="22860" t="26035" r="22225" b="2159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raDR0yoCAABKBAAADgAAAAAAAAAAAAAAAAAuAgAAZHJzL2Uyb0Rv&#10;Yy54bWxQSwECLQAUAAYACAAAACEA0TGDtNoAAAAFAQAADwAAAAAAAAAAAAAAAACEBAAAZHJzL2Rv&#10;d25yZXYueG1sUEsFBgAAAAAEAAQA8wAAAIsFAAAAAA==&#10;" strokeweight="3.25pt">
                <v:stroke linestyle="thickThin"/>
              </v:line>
            </w:pict>
          </mc:Fallback>
        </mc:AlternateContent>
      </w:r>
    </w:p>
    <w:p w:rsidR="000A0B64" w:rsidRDefault="000A0B64" w:rsidP="000A0B64">
      <w:pPr>
        <w:jc w:val="center"/>
        <w:rPr>
          <w:b/>
          <w:szCs w:val="24"/>
          <w:lang w:val="lv-LV"/>
        </w:rPr>
      </w:pPr>
    </w:p>
    <w:p w:rsidR="000A0B64" w:rsidRPr="000A0B64" w:rsidRDefault="000A0B64" w:rsidP="000A0B64">
      <w:pPr>
        <w:jc w:val="center"/>
        <w:rPr>
          <w:b/>
          <w:szCs w:val="24"/>
          <w:lang w:val="lv-LV"/>
        </w:rPr>
      </w:pPr>
      <w:r>
        <w:rPr>
          <w:b/>
          <w:szCs w:val="24"/>
          <w:lang w:val="lv-LV"/>
        </w:rPr>
        <w:t xml:space="preserve">ĀRKĀRTAS </w:t>
      </w:r>
      <w:r w:rsidRPr="000A0B64">
        <w:rPr>
          <w:b/>
          <w:szCs w:val="24"/>
          <w:lang w:val="lv-LV"/>
        </w:rPr>
        <w:t xml:space="preserve">SĒDES </w:t>
      </w:r>
      <w:r>
        <w:rPr>
          <w:b/>
          <w:szCs w:val="24"/>
          <w:lang w:val="lv-LV"/>
        </w:rPr>
        <w:t>DARBA KĀRTĪBA</w:t>
      </w:r>
    </w:p>
    <w:p w:rsidR="000A0B64" w:rsidRPr="000A0B64" w:rsidRDefault="000A0B64" w:rsidP="000A0B64">
      <w:pPr>
        <w:jc w:val="center"/>
        <w:rPr>
          <w:szCs w:val="24"/>
          <w:lang w:val="lv-LV"/>
        </w:rPr>
      </w:pPr>
      <w:r w:rsidRPr="000A0B64">
        <w:rPr>
          <w:szCs w:val="24"/>
          <w:lang w:val="lv-LV"/>
        </w:rPr>
        <w:t>Tukumā</w:t>
      </w:r>
    </w:p>
    <w:p w:rsidR="000A0B64" w:rsidRDefault="000A0B64" w:rsidP="000A0B64">
      <w:pPr>
        <w:jc w:val="both"/>
        <w:rPr>
          <w:b/>
          <w:szCs w:val="24"/>
          <w:lang w:val="lv-LV"/>
        </w:rPr>
      </w:pPr>
      <w:r w:rsidRPr="000A0B64">
        <w:rPr>
          <w:b/>
          <w:szCs w:val="24"/>
          <w:lang w:val="lv-LV"/>
        </w:rPr>
        <w:t xml:space="preserve">2016.gada </w:t>
      </w:r>
      <w:r>
        <w:rPr>
          <w:b/>
          <w:szCs w:val="24"/>
          <w:lang w:val="lv-LV"/>
        </w:rPr>
        <w:t>26</w:t>
      </w:r>
      <w:r w:rsidRPr="000A0B64">
        <w:rPr>
          <w:b/>
          <w:szCs w:val="24"/>
          <w:lang w:val="lv-LV"/>
        </w:rPr>
        <w:t>.aprīlī</w:t>
      </w:r>
      <w:r w:rsidRPr="000A0B64">
        <w:rPr>
          <w:b/>
          <w:szCs w:val="24"/>
          <w:lang w:val="lv-LV"/>
        </w:rPr>
        <w:tab/>
      </w:r>
      <w:r w:rsidRPr="000A0B64">
        <w:rPr>
          <w:b/>
          <w:szCs w:val="24"/>
          <w:lang w:val="lv-LV"/>
        </w:rPr>
        <w:tab/>
      </w:r>
      <w:r w:rsidRPr="000A0B64">
        <w:rPr>
          <w:b/>
          <w:szCs w:val="24"/>
          <w:lang w:val="lv-LV"/>
        </w:rPr>
        <w:tab/>
      </w:r>
      <w:r w:rsidRPr="000A0B64">
        <w:rPr>
          <w:b/>
          <w:szCs w:val="24"/>
          <w:lang w:val="lv-LV"/>
        </w:rPr>
        <w:tab/>
      </w:r>
      <w:r w:rsidRPr="000A0B64">
        <w:rPr>
          <w:b/>
          <w:szCs w:val="24"/>
          <w:lang w:val="lv-LV"/>
        </w:rPr>
        <w:tab/>
      </w:r>
      <w:r w:rsidRPr="000A0B64">
        <w:rPr>
          <w:b/>
          <w:szCs w:val="24"/>
          <w:lang w:val="lv-LV"/>
        </w:rPr>
        <w:tab/>
      </w:r>
      <w:r w:rsidRPr="000A0B64">
        <w:rPr>
          <w:b/>
          <w:szCs w:val="24"/>
          <w:lang w:val="lv-LV"/>
        </w:rPr>
        <w:tab/>
      </w:r>
      <w:r w:rsidRPr="000A0B64">
        <w:rPr>
          <w:b/>
          <w:szCs w:val="24"/>
          <w:lang w:val="lv-LV"/>
        </w:rPr>
        <w:tab/>
      </w:r>
      <w:r w:rsidRPr="000A0B64">
        <w:rPr>
          <w:b/>
          <w:szCs w:val="24"/>
          <w:lang w:val="lv-LV"/>
        </w:rPr>
        <w:tab/>
      </w:r>
    </w:p>
    <w:p w:rsidR="000A0B64" w:rsidRPr="000A0B64" w:rsidRDefault="000A0B64" w:rsidP="000A0B64">
      <w:pPr>
        <w:jc w:val="both"/>
        <w:rPr>
          <w:b/>
          <w:szCs w:val="24"/>
          <w:lang w:val="lv-LV"/>
        </w:rPr>
      </w:pPr>
      <w:r>
        <w:rPr>
          <w:b/>
          <w:szCs w:val="24"/>
          <w:lang w:val="lv-LV"/>
        </w:rPr>
        <w:t>plkst.16:00</w:t>
      </w:r>
    </w:p>
    <w:p w:rsidR="000A0B64" w:rsidRDefault="000A0B64">
      <w:pPr>
        <w:spacing w:after="200" w:line="276" w:lineRule="auto"/>
        <w:rPr>
          <w:szCs w:val="24"/>
          <w:lang w:val="lv-LV"/>
        </w:rPr>
      </w:pPr>
    </w:p>
    <w:p w:rsidR="000A0B64" w:rsidRDefault="000A0B64">
      <w:pPr>
        <w:spacing w:after="200" w:line="276" w:lineRule="auto"/>
        <w:rPr>
          <w:szCs w:val="24"/>
          <w:lang w:val="lv-LV"/>
        </w:rPr>
      </w:pPr>
    </w:p>
    <w:p w:rsidR="000A0B64" w:rsidRPr="000A0B64" w:rsidRDefault="000A0B64" w:rsidP="000A0B64">
      <w:pPr>
        <w:jc w:val="both"/>
        <w:rPr>
          <w:szCs w:val="24"/>
          <w:lang w:val="lv-LV"/>
        </w:rPr>
      </w:pPr>
      <w:r>
        <w:rPr>
          <w:szCs w:val="24"/>
          <w:lang w:val="lv-LV"/>
        </w:rPr>
        <w:t xml:space="preserve">1. </w:t>
      </w:r>
      <w:r w:rsidRPr="000A0B64">
        <w:rPr>
          <w:szCs w:val="24"/>
          <w:lang w:val="lv-LV"/>
        </w:rPr>
        <w:t>Par pašvaldību savstarpējiem norēķiniem par Kandavas novada profesionālās ievirzes izglītības iestāž</w:t>
      </w:r>
      <w:r w:rsidRPr="000A0B64">
        <w:rPr>
          <w:bCs/>
          <w:spacing w:val="-4"/>
          <w:szCs w:val="24"/>
          <w:lang w:val="lv-LV"/>
        </w:rPr>
        <w:t>u sniegtajiem pakalpojumiem.</w:t>
      </w:r>
    </w:p>
    <w:p w:rsidR="00AC47E7" w:rsidRDefault="000A0B64" w:rsidP="000A0B64">
      <w:pPr>
        <w:suppressAutoHyphens/>
        <w:autoSpaceDN w:val="0"/>
        <w:ind w:right="49"/>
        <w:jc w:val="both"/>
        <w:textAlignment w:val="baseline"/>
        <w:rPr>
          <w:sz w:val="20"/>
          <w:lang w:val="lv-LV"/>
        </w:rPr>
      </w:pPr>
      <w:r>
        <w:rPr>
          <w:sz w:val="20"/>
          <w:lang w:val="lv-LV"/>
        </w:rPr>
        <w:tab/>
        <w:t xml:space="preserve">ZIŅO: </w:t>
      </w:r>
      <w:proofErr w:type="spellStart"/>
      <w:r>
        <w:rPr>
          <w:sz w:val="20"/>
          <w:lang w:val="lv-LV"/>
        </w:rPr>
        <w:t>N.Rečs</w:t>
      </w:r>
      <w:proofErr w:type="spellEnd"/>
    </w:p>
    <w:p w:rsidR="000A0B64" w:rsidRDefault="000A0B64" w:rsidP="000A0B64">
      <w:pPr>
        <w:suppressAutoHyphens/>
        <w:autoSpaceDN w:val="0"/>
        <w:ind w:right="49"/>
        <w:jc w:val="both"/>
        <w:textAlignment w:val="baseline"/>
        <w:rPr>
          <w:szCs w:val="24"/>
          <w:lang w:val="lv-LV"/>
        </w:rPr>
      </w:pPr>
    </w:p>
    <w:p w:rsidR="000A0B64" w:rsidRDefault="000A0B64" w:rsidP="000A0B64">
      <w:pPr>
        <w:suppressAutoHyphens/>
        <w:autoSpaceDN w:val="0"/>
        <w:ind w:right="49"/>
        <w:jc w:val="both"/>
        <w:textAlignment w:val="baseline"/>
        <w:rPr>
          <w:szCs w:val="24"/>
          <w:lang w:val="lv-LV"/>
        </w:rPr>
      </w:pPr>
    </w:p>
    <w:p w:rsidR="000A0B64" w:rsidRDefault="000A0B64" w:rsidP="000A0B64">
      <w:pPr>
        <w:suppressAutoHyphens/>
        <w:autoSpaceDN w:val="0"/>
        <w:ind w:right="49"/>
        <w:jc w:val="both"/>
        <w:textAlignment w:val="baseline"/>
        <w:rPr>
          <w:szCs w:val="24"/>
          <w:lang w:val="lv-LV"/>
        </w:rPr>
      </w:pPr>
    </w:p>
    <w:p w:rsidR="000A0B64" w:rsidRPr="000A0B64" w:rsidRDefault="000A0B64" w:rsidP="000A0B64">
      <w:pPr>
        <w:suppressAutoHyphens/>
        <w:autoSpaceDN w:val="0"/>
        <w:ind w:right="49"/>
        <w:jc w:val="both"/>
        <w:textAlignment w:val="baseline"/>
        <w:rPr>
          <w:szCs w:val="24"/>
          <w:lang w:val="lv-LV"/>
        </w:rPr>
      </w:pPr>
      <w:r>
        <w:rPr>
          <w:szCs w:val="24"/>
          <w:lang w:val="lv-LV"/>
        </w:rPr>
        <w:t>Komitejas priekšsēdētāja</w:t>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r>
        <w:rPr>
          <w:szCs w:val="24"/>
          <w:lang w:val="lv-LV"/>
        </w:rPr>
        <w:tab/>
      </w:r>
      <w:proofErr w:type="spellStart"/>
      <w:r>
        <w:rPr>
          <w:szCs w:val="24"/>
          <w:lang w:val="lv-LV"/>
        </w:rPr>
        <w:t>L.Reimate</w:t>
      </w:r>
      <w:proofErr w:type="spellEnd"/>
      <w:r>
        <w:rPr>
          <w:szCs w:val="24"/>
          <w:lang w:val="lv-LV"/>
        </w:rPr>
        <w:t xml:space="preserve"> </w:t>
      </w:r>
    </w:p>
    <w:p w:rsidR="00FA0A60" w:rsidRPr="009A74A9" w:rsidRDefault="00FA0A60" w:rsidP="009A74A9">
      <w:pPr>
        <w:suppressAutoHyphens/>
        <w:autoSpaceDN w:val="0"/>
        <w:ind w:right="49"/>
        <w:jc w:val="right"/>
        <w:textAlignment w:val="baseline"/>
        <w:rPr>
          <w:szCs w:val="24"/>
          <w:lang w:val="lv-LV"/>
        </w:rPr>
      </w:pPr>
    </w:p>
    <w:p w:rsidR="000A0B64" w:rsidRDefault="000A0B64">
      <w:pPr>
        <w:spacing w:after="200" w:line="276" w:lineRule="auto"/>
        <w:rPr>
          <w:szCs w:val="24"/>
          <w:u w:val="single"/>
          <w:lang w:val="lv-LV" w:eastAsia="en-US"/>
        </w:rPr>
      </w:pPr>
      <w:r>
        <w:rPr>
          <w:szCs w:val="24"/>
          <w:u w:val="single"/>
          <w:lang w:val="lv-LV" w:eastAsia="en-US"/>
        </w:rPr>
        <w:br w:type="page"/>
      </w:r>
    </w:p>
    <w:p w:rsidR="00953501" w:rsidRPr="009A74A9" w:rsidRDefault="00953501" w:rsidP="009A74A9">
      <w:pPr>
        <w:jc w:val="right"/>
        <w:rPr>
          <w:szCs w:val="24"/>
          <w:u w:val="single"/>
          <w:lang w:val="lv-LV" w:eastAsia="en-US"/>
        </w:rPr>
      </w:pPr>
      <w:r w:rsidRPr="009A74A9">
        <w:rPr>
          <w:szCs w:val="24"/>
          <w:u w:val="single"/>
          <w:lang w:val="lv-LV" w:eastAsia="en-US"/>
        </w:rPr>
        <w:lastRenderedPageBreak/>
        <w:t>Projekts</w:t>
      </w:r>
    </w:p>
    <w:p w:rsidR="00953501" w:rsidRPr="009A74A9" w:rsidRDefault="000A0B64" w:rsidP="009A74A9">
      <w:pPr>
        <w:jc w:val="center"/>
        <w:rPr>
          <w:szCs w:val="24"/>
          <w:lang w:val="lv-LV" w:eastAsia="en-US"/>
        </w:rPr>
      </w:pPr>
      <w:r>
        <w:rPr>
          <w:szCs w:val="24"/>
          <w:lang w:val="lv-LV" w:eastAsia="en-US"/>
        </w:rPr>
        <w:t>1</w:t>
      </w:r>
      <w:r w:rsidR="00953501" w:rsidRPr="009A74A9">
        <w:rPr>
          <w:szCs w:val="24"/>
          <w:lang w:val="lv-LV" w:eastAsia="en-US"/>
        </w:rPr>
        <w:t>.§.</w:t>
      </w:r>
    </w:p>
    <w:p w:rsidR="00953501" w:rsidRPr="009A74A9" w:rsidRDefault="00953501" w:rsidP="009A74A9">
      <w:pPr>
        <w:jc w:val="center"/>
        <w:rPr>
          <w:szCs w:val="24"/>
          <w:lang w:val="lv-LV" w:eastAsia="en-US"/>
        </w:rPr>
      </w:pPr>
    </w:p>
    <w:p w:rsidR="00953501" w:rsidRPr="000979C5" w:rsidRDefault="00953501" w:rsidP="009A74A9">
      <w:pPr>
        <w:rPr>
          <w:b/>
          <w:szCs w:val="24"/>
          <w:lang w:val="lv-LV"/>
        </w:rPr>
      </w:pPr>
      <w:r w:rsidRPr="000979C5">
        <w:rPr>
          <w:b/>
          <w:szCs w:val="24"/>
          <w:lang w:val="lv-LV"/>
        </w:rPr>
        <w:t xml:space="preserve">Par pašvaldību savstarpējiem norēķiniem </w:t>
      </w:r>
    </w:p>
    <w:p w:rsidR="00953501" w:rsidRPr="000979C5" w:rsidRDefault="00953501" w:rsidP="009A74A9">
      <w:pPr>
        <w:tabs>
          <w:tab w:val="left" w:pos="1560"/>
        </w:tabs>
        <w:rPr>
          <w:b/>
          <w:szCs w:val="24"/>
          <w:lang w:val="lv-LV"/>
        </w:rPr>
      </w:pPr>
      <w:r w:rsidRPr="000979C5">
        <w:rPr>
          <w:b/>
          <w:szCs w:val="24"/>
          <w:lang w:val="lv-LV"/>
        </w:rPr>
        <w:t xml:space="preserve">par Kandavas novada profesionālās ievirzes </w:t>
      </w:r>
    </w:p>
    <w:p w:rsidR="00953501" w:rsidRPr="000979C5" w:rsidRDefault="00953501" w:rsidP="009A74A9">
      <w:pPr>
        <w:rPr>
          <w:b/>
          <w:szCs w:val="24"/>
          <w:lang w:val="lv-LV"/>
        </w:rPr>
      </w:pPr>
      <w:r w:rsidRPr="000979C5">
        <w:rPr>
          <w:b/>
          <w:szCs w:val="24"/>
          <w:lang w:val="lv-LV"/>
        </w:rPr>
        <w:t>izglītības iestāž</w:t>
      </w:r>
      <w:r w:rsidRPr="000979C5">
        <w:rPr>
          <w:b/>
          <w:bCs/>
          <w:spacing w:val="-4"/>
          <w:szCs w:val="24"/>
          <w:lang w:val="lv-LV"/>
        </w:rPr>
        <w:t>u sniegtajiem pakalpojumiem</w:t>
      </w:r>
    </w:p>
    <w:p w:rsidR="00953501" w:rsidRPr="000979C5" w:rsidRDefault="00953501" w:rsidP="009A74A9">
      <w:pPr>
        <w:rPr>
          <w:i/>
          <w:sz w:val="28"/>
          <w:szCs w:val="24"/>
          <w:lang w:val="lv-LV" w:eastAsia="en-US"/>
        </w:rPr>
      </w:pPr>
    </w:p>
    <w:p w:rsidR="00953501" w:rsidRPr="00373F79" w:rsidRDefault="00953501" w:rsidP="009A74A9">
      <w:pPr>
        <w:rPr>
          <w:i/>
          <w:szCs w:val="24"/>
          <w:lang w:val="lv-LV" w:eastAsia="en-US"/>
        </w:rPr>
      </w:pPr>
      <w:r w:rsidRPr="00373F79">
        <w:rPr>
          <w:i/>
          <w:szCs w:val="24"/>
          <w:lang w:val="lv-LV" w:eastAsia="en-US"/>
        </w:rPr>
        <w:t>Iesniegt izskatīšanai Domei šādu lēmuma projektu:</w:t>
      </w:r>
    </w:p>
    <w:p w:rsidR="00FA0A60" w:rsidRPr="009A74A9" w:rsidRDefault="00FA0A60" w:rsidP="009A74A9">
      <w:pPr>
        <w:suppressAutoHyphens/>
        <w:autoSpaceDN w:val="0"/>
        <w:ind w:right="49"/>
        <w:jc w:val="right"/>
        <w:textAlignment w:val="baseline"/>
        <w:rPr>
          <w:szCs w:val="24"/>
          <w:lang w:val="lv-LV"/>
        </w:rPr>
      </w:pPr>
    </w:p>
    <w:p w:rsidR="00AC47E7" w:rsidRPr="009A74A9" w:rsidRDefault="00AC47E7" w:rsidP="009A74A9">
      <w:pPr>
        <w:suppressAutoHyphens/>
        <w:autoSpaceDN w:val="0"/>
        <w:jc w:val="center"/>
        <w:textAlignment w:val="baseline"/>
        <w:rPr>
          <w:szCs w:val="24"/>
          <w:lang w:val="lv-LV"/>
        </w:rPr>
      </w:pPr>
    </w:p>
    <w:p w:rsidR="00AC47E7" w:rsidRPr="009A74A9" w:rsidRDefault="00BC07FB" w:rsidP="009A74A9">
      <w:pPr>
        <w:ind w:firstLine="696"/>
        <w:jc w:val="both"/>
        <w:rPr>
          <w:szCs w:val="24"/>
          <w:lang w:val="lv-LV"/>
        </w:rPr>
      </w:pPr>
      <w:r w:rsidRPr="009A74A9">
        <w:rPr>
          <w:szCs w:val="24"/>
          <w:lang w:val="lv-LV"/>
        </w:rPr>
        <w:t>Tukuma novada Izglītības pārvaldē ir saņemts ar 2016.gada 14.martu datēts Kandavas novada Izglītības pārvaldes sastādīts un parakstīts līgums</w:t>
      </w:r>
      <w:r w:rsidR="00712392" w:rsidRPr="009A74A9">
        <w:rPr>
          <w:szCs w:val="24"/>
          <w:lang w:val="lv-LV"/>
        </w:rPr>
        <w:t xml:space="preserve"> par pašvaldību savstarpējo norēķinu kārtību par profesionālās ievirzes izglītības iestāžu sniegtajiem pakalpojumiem (turpmāk – līgum</w:t>
      </w:r>
      <w:r w:rsidR="002D575B" w:rsidRPr="009A74A9">
        <w:rPr>
          <w:szCs w:val="24"/>
          <w:lang w:val="lv-LV"/>
        </w:rPr>
        <w:t>a projekts</w:t>
      </w:r>
      <w:r w:rsidR="00712392" w:rsidRPr="009A74A9">
        <w:rPr>
          <w:szCs w:val="24"/>
          <w:lang w:val="lv-LV"/>
        </w:rPr>
        <w:t>), ar kuru Kandavas novada Izglītības pārvalde piedāvā Tukuma novada Izglītības pārvaldei veikt pašvaldību savstarpējos norēķinus par profesionālās ievirzes izglītības iestāžu audzēkņiem, kuriem dzīvesvieta ir deklarēt</w:t>
      </w:r>
      <w:r w:rsidR="002D575B" w:rsidRPr="009A74A9">
        <w:rPr>
          <w:szCs w:val="24"/>
          <w:lang w:val="lv-LV"/>
        </w:rPr>
        <w:t>a</w:t>
      </w:r>
      <w:r w:rsidR="00712392" w:rsidRPr="009A74A9">
        <w:rPr>
          <w:szCs w:val="24"/>
          <w:lang w:val="lv-LV"/>
        </w:rPr>
        <w:t xml:space="preserve"> Tukuma novadā, bet kuri apmeklē Kandavas novada profesionālās ievirzes izglītības iestādes. </w:t>
      </w:r>
      <w:r w:rsidR="002D575B" w:rsidRPr="009A74A9">
        <w:rPr>
          <w:szCs w:val="24"/>
          <w:lang w:val="lv-LV"/>
        </w:rPr>
        <w:t xml:space="preserve">Saskaņā ar līguma projektam pievienoto audzēkņu sarakstu, Kandavas Mākslas un mūzikas skolu apmeklē 13, Kandavas Deju skolu – 3, bet Kandavas novada Bērnu un jaunatnes sporta skolu – 11 audzēkņi, kuru dzīvesvieta ir deklarēta Tukuma novadā. Kopējā summa, kas Tukuma novada pašvaldībai saskaņā ar līguma projektu </w:t>
      </w:r>
      <w:r w:rsidR="00027091" w:rsidRPr="009A74A9">
        <w:rPr>
          <w:szCs w:val="24"/>
          <w:lang w:val="lv-LV"/>
        </w:rPr>
        <w:t>par peri</w:t>
      </w:r>
      <w:r w:rsidR="004823D7" w:rsidRPr="009A74A9">
        <w:rPr>
          <w:szCs w:val="24"/>
          <w:lang w:val="lv-LV"/>
        </w:rPr>
        <w:t>o</w:t>
      </w:r>
      <w:r w:rsidR="00027091" w:rsidRPr="009A74A9">
        <w:rPr>
          <w:szCs w:val="24"/>
          <w:lang w:val="lv-LV"/>
        </w:rPr>
        <w:t xml:space="preserve">du no 2016.gada 1.janvāra līdz 2016.gada 31.aprīlim </w:t>
      </w:r>
      <w:r w:rsidR="002D575B" w:rsidRPr="009A74A9">
        <w:rPr>
          <w:szCs w:val="24"/>
          <w:lang w:val="lv-LV"/>
        </w:rPr>
        <w:t xml:space="preserve">būtu jāmaksā Kandavas novadam, ir 4769,20 </w:t>
      </w:r>
      <w:proofErr w:type="spellStart"/>
      <w:r w:rsidR="002D575B" w:rsidRPr="009A74A9">
        <w:rPr>
          <w:i/>
          <w:szCs w:val="24"/>
          <w:lang w:val="lv-LV"/>
        </w:rPr>
        <w:t>euro</w:t>
      </w:r>
      <w:proofErr w:type="spellEnd"/>
      <w:r w:rsidR="002D575B" w:rsidRPr="009A74A9">
        <w:rPr>
          <w:szCs w:val="24"/>
          <w:lang w:val="lv-LV"/>
        </w:rPr>
        <w:t>.</w:t>
      </w:r>
    </w:p>
    <w:p w:rsidR="0046152C" w:rsidRPr="009A74A9" w:rsidRDefault="0046152C" w:rsidP="009A74A9">
      <w:pPr>
        <w:ind w:firstLine="696"/>
        <w:jc w:val="both"/>
        <w:rPr>
          <w:color w:val="FF0000"/>
          <w:szCs w:val="24"/>
          <w:lang w:val="lv-LV"/>
        </w:rPr>
      </w:pPr>
      <w:r w:rsidRPr="009A74A9">
        <w:rPr>
          <w:rFonts w:eastAsia="Calibri"/>
          <w:color w:val="FF0000"/>
          <w:szCs w:val="24"/>
          <w:lang w:val="lv-LV"/>
        </w:rPr>
        <w:t>Profesionālās ievirzes izglītība, saskaņā ar Izglītības likuma 1.panta 20</w:t>
      </w:r>
      <w:r w:rsidRPr="009A74A9">
        <w:rPr>
          <w:rFonts w:eastAsia="Calibri"/>
          <w:color w:val="FF0000"/>
          <w:szCs w:val="24"/>
          <w:vertAlign w:val="superscript"/>
          <w:lang w:val="lv-LV"/>
        </w:rPr>
        <w:t>1</w:t>
      </w:r>
      <w:r w:rsidRPr="009A74A9">
        <w:rPr>
          <w:rFonts w:eastAsia="Calibri"/>
          <w:color w:val="FF0000"/>
          <w:szCs w:val="24"/>
          <w:lang w:val="lv-LV"/>
        </w:rPr>
        <w:t xml:space="preserve"> punktu, ir sistematizēta zināšanu un prasmju apguve, kā arī vērtīborientācijas veidošana mākslā, kultūrā vai sportā līdztekus pamatizglītības vai vidējās izglītības pakāpei, kas dod iespēju sagatavoties profesionālās izglītības ieguvei izraudzītajā virzienā.</w:t>
      </w:r>
    </w:p>
    <w:p w:rsidR="00B11F83" w:rsidRPr="009A74A9" w:rsidRDefault="00FB5901" w:rsidP="009A74A9">
      <w:pPr>
        <w:ind w:firstLine="696"/>
        <w:jc w:val="both"/>
        <w:rPr>
          <w:bCs/>
          <w:szCs w:val="24"/>
          <w:lang w:val="lv-LV"/>
        </w:rPr>
      </w:pPr>
      <w:r w:rsidRPr="009A74A9">
        <w:rPr>
          <w:szCs w:val="24"/>
          <w:lang w:val="lv-LV"/>
        </w:rPr>
        <w:t xml:space="preserve">Ministru kabineta </w:t>
      </w:r>
      <w:r w:rsidR="009D2B04" w:rsidRPr="009A74A9">
        <w:rPr>
          <w:szCs w:val="24"/>
          <w:lang w:val="lv-LV"/>
        </w:rPr>
        <w:t>13.07.1999. noteikumu Nr.250 “Kārtība, kādā veicami pašvaldību savstarpējie norēķini par izglītības iestāžu vai sociālās aprūpes iestāžu sniegtajiem pakalpojumiem“</w:t>
      </w:r>
      <w:r w:rsidR="00727702" w:rsidRPr="009A74A9">
        <w:rPr>
          <w:szCs w:val="24"/>
          <w:lang w:val="lv-LV"/>
        </w:rPr>
        <w:t xml:space="preserve"> (turpmāk – MK noteikumi Nr.250)</w:t>
      </w:r>
      <w:r w:rsidR="009D2B04" w:rsidRPr="009A74A9">
        <w:rPr>
          <w:szCs w:val="24"/>
          <w:lang w:val="lv-LV"/>
        </w:rPr>
        <w:t xml:space="preserve"> 6.punkts nosaka, ka /</w:t>
      </w:r>
      <w:r w:rsidR="00727702" w:rsidRPr="009A74A9">
        <w:rPr>
          <w:i/>
          <w:szCs w:val="24"/>
          <w:lang w:val="lv-LV"/>
        </w:rPr>
        <w:t>p</w:t>
      </w:r>
      <w:r w:rsidR="009D2B04" w:rsidRPr="009A74A9">
        <w:rPr>
          <w:i/>
          <w:szCs w:val="24"/>
          <w:lang w:val="lv-LV"/>
        </w:rPr>
        <w:t xml:space="preserve">akalpojuma saņēmējam ir pienākums slēgt šo noteikumu </w:t>
      </w:r>
      <w:hyperlink r:id="rId10" w:anchor="p2" w:tgtFrame="_blank" w:history="1">
        <w:r w:rsidR="009D2B04" w:rsidRPr="009A74A9">
          <w:rPr>
            <w:rStyle w:val="Hyperlink"/>
            <w:i/>
            <w:color w:val="auto"/>
            <w:szCs w:val="24"/>
            <w:lang w:val="lv-LV"/>
          </w:rPr>
          <w:t>2.punktā</w:t>
        </w:r>
      </w:hyperlink>
      <w:r w:rsidR="009D2B04" w:rsidRPr="009A74A9">
        <w:rPr>
          <w:i/>
          <w:szCs w:val="24"/>
          <w:lang w:val="lv-LV"/>
        </w:rPr>
        <w:t xml:space="preserve"> minēto līgumu par sniegtajiem pakalpojumiem attiecīgajā administratīvajā teritorijā deklarētajiem audzēkņiem, kuri apmeklē citas pašvaldības pirmsskolas izglītības iestādes, sākumskolas, pamatskolas, vidusskolas vai vakara un neklātienes (maiņu) vispārējās izglītības iestādes (bez vecuma ierobežojuma)</w:t>
      </w:r>
      <w:r w:rsidR="009D2B04" w:rsidRPr="009A74A9">
        <w:rPr>
          <w:szCs w:val="24"/>
          <w:lang w:val="lv-LV"/>
        </w:rPr>
        <w:t xml:space="preserve">/. Savukārt, </w:t>
      </w:r>
      <w:r w:rsidR="00727702" w:rsidRPr="009A74A9">
        <w:rPr>
          <w:szCs w:val="24"/>
          <w:lang w:val="lv-LV"/>
        </w:rPr>
        <w:t>MK noteikumu Nr.250</w:t>
      </w:r>
      <w:r w:rsidR="009D2B04" w:rsidRPr="009A74A9">
        <w:rPr>
          <w:szCs w:val="24"/>
          <w:lang w:val="lv-LV"/>
        </w:rPr>
        <w:t xml:space="preserve"> 9.punkts paredz, ka /</w:t>
      </w:r>
      <w:r w:rsidR="00727702" w:rsidRPr="009A74A9">
        <w:rPr>
          <w:i/>
          <w:szCs w:val="24"/>
          <w:lang w:val="lv-LV"/>
        </w:rPr>
        <w:t>p</w:t>
      </w:r>
      <w:r w:rsidR="009D2B04" w:rsidRPr="009A74A9">
        <w:rPr>
          <w:i/>
          <w:szCs w:val="24"/>
          <w:lang w:val="lv-LV"/>
        </w:rPr>
        <w:t>ašvaldību savstarpējie norēķini par interešu izglītības iestāžu sniegtajiem pakalpojumiem ārpus pašvaldības administratīvās teritorijas netiek paredzēti, ja pašvaldības dome nav lēmusi citādi</w:t>
      </w:r>
      <w:r w:rsidR="009D2B04" w:rsidRPr="009A74A9">
        <w:rPr>
          <w:szCs w:val="24"/>
          <w:lang w:val="lv-LV"/>
        </w:rPr>
        <w:t>/.</w:t>
      </w:r>
      <w:r w:rsidR="00727702" w:rsidRPr="009A74A9">
        <w:rPr>
          <w:szCs w:val="24"/>
          <w:lang w:val="lv-LV"/>
        </w:rPr>
        <w:t xml:space="preserve"> </w:t>
      </w:r>
      <w:r w:rsidR="00C06F47" w:rsidRPr="009A74A9">
        <w:rPr>
          <w:szCs w:val="24"/>
          <w:lang w:val="lv-LV"/>
        </w:rPr>
        <w:t>Jēdziens „interešu izglītības iestādes“ MK noteikumu Nr.250 9.punktā tā 2009.gadā apstiprinātajā redakcijā ir ekvivalents jēdzienam „profesionālās ievirzes izglītības iestādes”.</w:t>
      </w:r>
      <w:r w:rsidR="00027091" w:rsidRPr="009A74A9">
        <w:rPr>
          <w:szCs w:val="24"/>
          <w:lang w:val="lv-LV"/>
        </w:rPr>
        <w:t xml:space="preserve"> MK noteikumi Nr.250 ir spēkā līdz 2016.gada 30.jūnijam. </w:t>
      </w:r>
      <w:r w:rsidR="004823D7" w:rsidRPr="009A74A9">
        <w:rPr>
          <w:szCs w:val="24"/>
          <w:lang w:val="lv-LV"/>
        </w:rPr>
        <w:t xml:space="preserve">Valsts sekretāru sanāksmē 2016.gada 10.martā ar </w:t>
      </w:r>
      <w:proofErr w:type="spellStart"/>
      <w:r w:rsidR="004823D7" w:rsidRPr="009A74A9">
        <w:rPr>
          <w:szCs w:val="24"/>
          <w:lang w:val="lv-LV"/>
        </w:rPr>
        <w:t>Nr.VSS-202</w:t>
      </w:r>
      <w:proofErr w:type="spellEnd"/>
      <w:r w:rsidR="004823D7" w:rsidRPr="009A74A9">
        <w:rPr>
          <w:szCs w:val="24"/>
          <w:lang w:val="lv-LV"/>
        </w:rPr>
        <w:t xml:space="preserve"> ir izsludināts </w:t>
      </w:r>
      <w:r w:rsidR="00027091" w:rsidRPr="009A74A9">
        <w:rPr>
          <w:szCs w:val="24"/>
          <w:lang w:val="lv-LV"/>
        </w:rPr>
        <w:t>Ministru kabineta noteikumu “</w:t>
      </w:r>
      <w:r w:rsidR="00027091" w:rsidRPr="009A74A9">
        <w:rPr>
          <w:bCs/>
          <w:szCs w:val="24"/>
          <w:lang w:val="lv-LV"/>
        </w:rPr>
        <w:t>Kārtība, kādā veicami pašvaldību savstarpējie norēķini par izglītības iestāžu sniegtajiem pakalpojumiem“ projekt</w:t>
      </w:r>
      <w:r w:rsidR="004823D7" w:rsidRPr="009A74A9">
        <w:rPr>
          <w:bCs/>
          <w:szCs w:val="24"/>
          <w:lang w:val="lv-LV"/>
        </w:rPr>
        <w:t>s.</w:t>
      </w:r>
      <w:r w:rsidR="00212BE4">
        <w:rPr>
          <w:bCs/>
          <w:szCs w:val="24"/>
          <w:lang w:val="lv-LV"/>
        </w:rPr>
        <w:t xml:space="preserve"> </w:t>
      </w:r>
      <w:r w:rsidR="004823D7" w:rsidRPr="009A74A9">
        <w:rPr>
          <w:bCs/>
          <w:szCs w:val="24"/>
          <w:lang w:val="lv-LV"/>
        </w:rPr>
        <w:t xml:space="preserve">Tā </w:t>
      </w:r>
      <w:r w:rsidR="00B11F83" w:rsidRPr="009A74A9">
        <w:rPr>
          <w:bCs/>
          <w:szCs w:val="24"/>
          <w:lang w:val="lv-LV"/>
        </w:rPr>
        <w:t>4.punkt</w:t>
      </w:r>
      <w:r w:rsidR="004823D7" w:rsidRPr="009A74A9">
        <w:rPr>
          <w:bCs/>
          <w:szCs w:val="24"/>
          <w:lang w:val="lv-LV"/>
        </w:rPr>
        <w:t>ā</w:t>
      </w:r>
      <w:r w:rsidR="00B11F83" w:rsidRPr="009A74A9">
        <w:rPr>
          <w:bCs/>
          <w:szCs w:val="24"/>
          <w:lang w:val="lv-LV"/>
        </w:rPr>
        <w:t xml:space="preserve"> </w:t>
      </w:r>
      <w:r w:rsidR="004823D7" w:rsidRPr="009A74A9">
        <w:rPr>
          <w:bCs/>
          <w:szCs w:val="24"/>
          <w:lang w:val="lv-LV"/>
        </w:rPr>
        <w:t>noteikts</w:t>
      </w:r>
      <w:r w:rsidR="00B11F83" w:rsidRPr="009A74A9">
        <w:rPr>
          <w:bCs/>
          <w:szCs w:val="24"/>
          <w:lang w:val="lv-LV"/>
        </w:rPr>
        <w:t xml:space="preserve">, ka </w:t>
      </w:r>
      <w:r w:rsidR="00B11F83" w:rsidRPr="009A74A9">
        <w:rPr>
          <w:bCs/>
          <w:i/>
          <w:szCs w:val="24"/>
          <w:lang w:val="lv-LV"/>
        </w:rPr>
        <w:t>„</w:t>
      </w:r>
      <w:r w:rsidR="00B11F83" w:rsidRPr="009A74A9">
        <w:rPr>
          <w:i/>
          <w:szCs w:val="24"/>
          <w:lang w:val="lv-LV"/>
        </w:rPr>
        <w:t>Pašvaldību savstarpējie norēķini par interešu izglītības, profesionālās izglītības un profesionālās ievirzes izglītības iestāžu sniegtajiem pakalpojumiem netiek paredzēti. Pašvaldības pēc vienošanās var slēgt savstarpējo norēķinu līgumus par interešu izglītības, profesionālās izglītības un profesionālās ievirzes izglītības iestāžu sniegtajiem pakalpojumiem“.</w:t>
      </w:r>
      <w:r w:rsidR="00B11F83" w:rsidRPr="009A74A9">
        <w:rPr>
          <w:szCs w:val="24"/>
          <w:lang w:val="lv-LV"/>
        </w:rPr>
        <w:t xml:space="preserve"> </w:t>
      </w:r>
    </w:p>
    <w:p w:rsidR="00877A77" w:rsidRPr="009A74A9" w:rsidRDefault="000D3BD3" w:rsidP="009A74A9">
      <w:pPr>
        <w:ind w:firstLine="696"/>
        <w:jc w:val="both"/>
        <w:rPr>
          <w:szCs w:val="24"/>
          <w:lang w:val="lv-LV"/>
        </w:rPr>
      </w:pPr>
      <w:r w:rsidRPr="009A74A9">
        <w:rPr>
          <w:szCs w:val="24"/>
          <w:lang w:val="lv-LV"/>
        </w:rPr>
        <w:t xml:space="preserve">Tukuma novada Dome 2016.gada 26.janvārī apstiprināja saistošos noteikumus Nr.3 </w:t>
      </w:r>
      <w:r w:rsidR="00AC47E7" w:rsidRPr="009A74A9">
        <w:rPr>
          <w:szCs w:val="24"/>
          <w:lang w:val="lv-LV"/>
        </w:rPr>
        <w:t>„Par grozījumiem Tukuma novada Domes 2011.gada 26.maija saistošajos noteikumos Nr.13 „Līdzfinansējuma samaksas kārtība Tukuma novada profesionālās</w:t>
      </w:r>
      <w:r w:rsidRPr="009A74A9">
        <w:rPr>
          <w:szCs w:val="24"/>
          <w:lang w:val="lv-LV"/>
        </w:rPr>
        <w:t xml:space="preserve"> ievirzes izglītības iestādēs””</w:t>
      </w:r>
      <w:r w:rsidR="0016327B" w:rsidRPr="009A74A9">
        <w:rPr>
          <w:szCs w:val="24"/>
          <w:lang w:val="lv-LV"/>
        </w:rPr>
        <w:t xml:space="preserve"> (prot.Nr.2, 8.§.)</w:t>
      </w:r>
      <w:r w:rsidR="00D75D2F" w:rsidRPr="009A74A9">
        <w:rPr>
          <w:szCs w:val="24"/>
          <w:lang w:val="lv-LV"/>
        </w:rPr>
        <w:t xml:space="preserve">, izsakot Tukuma novada Domes 2011.gada 26.maija saistošo noteikumu Nr.13 „Līdzfinansējuma samaksas kārtība Tukuma novada profesionālās ievirzes izglītības iestādēs” 7.punktu sekojošā redakcijā: “7. Citu pašvaldību līdzfinansējuma apmēru nosaka, aprēķinot Tukuma novada pašvaldības izmaksas budžeta gadā par vienu izglītojamo Skolā. Līgumu ar citu pašvaldību par līdzfinansējumu, </w:t>
      </w:r>
      <w:r w:rsidR="00D75D2F" w:rsidRPr="009A74A9">
        <w:rPr>
          <w:szCs w:val="24"/>
          <w:u w:val="single"/>
          <w:lang w:val="lv-LV"/>
        </w:rPr>
        <w:t>pēc pašvaldību savstarpējās vienošanās</w:t>
      </w:r>
      <w:r w:rsidR="00D75D2F" w:rsidRPr="009A74A9">
        <w:rPr>
          <w:szCs w:val="24"/>
          <w:lang w:val="lv-LV"/>
        </w:rPr>
        <w:t xml:space="preserve"> slēdz Tukuma novada Izglītības pārvalde.”.</w:t>
      </w:r>
    </w:p>
    <w:p w:rsidR="00231950" w:rsidRPr="009A74A9" w:rsidRDefault="00231950" w:rsidP="009A74A9">
      <w:pPr>
        <w:jc w:val="both"/>
        <w:rPr>
          <w:szCs w:val="24"/>
          <w:lang w:val="lv-LV"/>
        </w:rPr>
      </w:pPr>
      <w:r w:rsidRPr="009A74A9">
        <w:rPr>
          <w:szCs w:val="24"/>
          <w:lang w:val="lv-LV"/>
        </w:rPr>
        <w:tab/>
        <w:t xml:space="preserve">Piedāvājumu slēgt līgumu par pašvaldību savstarpējiem norēķiniem par profesionālās ievirzes izglītības iestāžu sniegtajiem pakalpojumiem 2016.gadā ir izteikusi tikai Kandavas novada </w:t>
      </w:r>
      <w:r w:rsidRPr="009A74A9">
        <w:rPr>
          <w:szCs w:val="24"/>
          <w:lang w:val="lv-LV"/>
        </w:rPr>
        <w:lastRenderedPageBreak/>
        <w:t xml:space="preserve">pašvaldība. </w:t>
      </w:r>
      <w:r w:rsidR="00BF3A3F" w:rsidRPr="009A74A9">
        <w:rPr>
          <w:szCs w:val="24"/>
          <w:lang w:val="lv-LV"/>
        </w:rPr>
        <w:t xml:space="preserve">Izglītojamie, kuru dzīvesvieta deklarēta </w:t>
      </w:r>
      <w:r w:rsidRPr="009A74A9">
        <w:rPr>
          <w:szCs w:val="24"/>
          <w:lang w:val="lv-LV"/>
        </w:rPr>
        <w:t xml:space="preserve">Tukuma </w:t>
      </w:r>
      <w:r w:rsidR="00BF3A3F" w:rsidRPr="009A74A9">
        <w:rPr>
          <w:szCs w:val="24"/>
          <w:lang w:val="lv-LV"/>
        </w:rPr>
        <w:t>novada pašvaldības administratīvajā teritorijā, apmeklē arī Engures mākslas un mūzikas skolu, taču Engures novada pašvaldība nav rosinājusi slēgt līgumu par pašvaldību savstarpējiem norēķiniem par profesionālās ievirzes izglītības iestāžu sniegtajiem pakalpojumiem 2016.gadā.</w:t>
      </w:r>
      <w:r w:rsidR="00726417" w:rsidRPr="009A74A9">
        <w:rPr>
          <w:szCs w:val="24"/>
          <w:lang w:val="lv-LV"/>
        </w:rPr>
        <w:t xml:space="preserve"> Līdz ar to, slēdzot savstarpējo norēķinu līgumu par profesionālās ievirzes izglītības iestāžu sniegtajiem pakalpojumiem ar Kandavas novada pašvaldību, tāda veida līgums saskaņā ar v</w:t>
      </w:r>
      <w:r w:rsidR="001B2855" w:rsidRPr="009A74A9">
        <w:rPr>
          <w:szCs w:val="24"/>
          <w:lang w:val="lv-LV"/>
        </w:rPr>
        <w:t xml:space="preserve">ienlīdzības principu </w:t>
      </w:r>
      <w:r w:rsidR="00726417" w:rsidRPr="009A74A9">
        <w:rPr>
          <w:szCs w:val="24"/>
          <w:lang w:val="lv-LV"/>
        </w:rPr>
        <w:t xml:space="preserve">būtu jāslēdz arī </w:t>
      </w:r>
      <w:r w:rsidR="001B2855" w:rsidRPr="009A74A9">
        <w:rPr>
          <w:szCs w:val="24"/>
          <w:lang w:val="lv-LV"/>
        </w:rPr>
        <w:t>ar Engures novada pašvaldību.</w:t>
      </w:r>
    </w:p>
    <w:p w:rsidR="004A2475" w:rsidRPr="009A74A9" w:rsidRDefault="004A2475" w:rsidP="009A74A9">
      <w:pPr>
        <w:jc w:val="both"/>
        <w:rPr>
          <w:szCs w:val="24"/>
          <w:lang w:val="lv-LV"/>
        </w:rPr>
      </w:pPr>
      <w:r w:rsidRPr="009A74A9">
        <w:rPr>
          <w:szCs w:val="24"/>
          <w:lang w:val="lv-LV"/>
        </w:rPr>
        <w:tab/>
      </w:r>
      <w:r w:rsidR="00AE5CD5" w:rsidRPr="009A74A9">
        <w:rPr>
          <w:szCs w:val="24"/>
          <w:lang w:val="lv-LV"/>
        </w:rPr>
        <w:t xml:space="preserve">Vērtējot profesionālās ievirzes izglītības iestāžu audzēkņu, kuru dzīvesvieta ir deklarēta Tukuma novadā, bet kuri apmeklē Kandavas novada profesionālās ievirzes izglītības iestādes, iespējas iegūt līdzvērtīgu profesionālās ievirzes izglītību Tukuma novada profesionālās ievirzes izglītības iestādēs, secināms, ka </w:t>
      </w:r>
      <w:r w:rsidR="0073536A" w:rsidRPr="009A74A9">
        <w:rPr>
          <w:szCs w:val="24"/>
          <w:lang w:val="lv-LV"/>
        </w:rPr>
        <w:t>Tukuma Sporta skola nodrošina iespēju apgūt sporta profesionālās ievirzes izglītības programmas analoģiski Kandavas novada Bērnu un jaunatnes sporta skolas programmām</w:t>
      </w:r>
      <w:r w:rsidR="008A2AE5" w:rsidRPr="009A74A9">
        <w:rPr>
          <w:szCs w:val="24"/>
          <w:lang w:val="lv-LV"/>
        </w:rPr>
        <w:t>, bet</w:t>
      </w:r>
      <w:r w:rsidR="0073536A" w:rsidRPr="009A74A9">
        <w:rPr>
          <w:szCs w:val="24"/>
          <w:lang w:val="lv-LV"/>
        </w:rPr>
        <w:t xml:space="preserve"> Tukuma Mākslas skola </w:t>
      </w:r>
      <w:r w:rsidR="008A2AE5" w:rsidRPr="009A74A9">
        <w:rPr>
          <w:szCs w:val="24"/>
          <w:lang w:val="lv-LV"/>
        </w:rPr>
        <w:t xml:space="preserve">un Tukuma Mūzikas skola nodrošina iespēju apgūt attiecīgi mākslas </w:t>
      </w:r>
      <w:r w:rsidR="00B8005C" w:rsidRPr="009A74A9">
        <w:rPr>
          <w:szCs w:val="24"/>
          <w:lang w:val="lv-LV"/>
        </w:rPr>
        <w:t>vai</w:t>
      </w:r>
      <w:r w:rsidR="008A2AE5" w:rsidRPr="009A74A9">
        <w:rPr>
          <w:szCs w:val="24"/>
          <w:lang w:val="lv-LV"/>
        </w:rPr>
        <w:t xml:space="preserve"> mūzikas profesionālās ievirzes izglītības programmas analoģiski Kandavas Mākslas un mūzikas skolas programmām. Vienīgi Tukuma novada pašvaldības profesionālās</w:t>
      </w:r>
      <w:r w:rsidR="00B8005C" w:rsidRPr="009A74A9">
        <w:rPr>
          <w:szCs w:val="24"/>
          <w:lang w:val="lv-LV"/>
        </w:rPr>
        <w:t xml:space="preserve"> ievirzes</w:t>
      </w:r>
      <w:r w:rsidR="008A2AE5" w:rsidRPr="009A74A9">
        <w:rPr>
          <w:szCs w:val="24"/>
          <w:lang w:val="lv-LV"/>
        </w:rPr>
        <w:t xml:space="preserve"> izglītības iestādēs netiek nodrošināts Kandavas Deju skolas profesionālā</w:t>
      </w:r>
      <w:r w:rsidR="00706080" w:rsidRPr="009A74A9">
        <w:rPr>
          <w:szCs w:val="24"/>
          <w:lang w:val="lv-LV"/>
        </w:rPr>
        <w:t>s ievirzes izglītības programmai (“Dejas pamati”, kods:20V212101)</w:t>
      </w:r>
      <w:r w:rsidR="008A2AE5" w:rsidRPr="009A74A9">
        <w:rPr>
          <w:szCs w:val="24"/>
          <w:lang w:val="lv-LV"/>
        </w:rPr>
        <w:t xml:space="preserve"> analoģisks piedāvājums.</w:t>
      </w:r>
    </w:p>
    <w:p w:rsidR="00B91774" w:rsidRPr="009A74A9" w:rsidRDefault="00B91774" w:rsidP="009A74A9">
      <w:pPr>
        <w:jc w:val="both"/>
        <w:rPr>
          <w:color w:val="FF0000"/>
          <w:szCs w:val="24"/>
          <w:lang w:val="lv-LV"/>
        </w:rPr>
      </w:pPr>
      <w:r w:rsidRPr="009A74A9">
        <w:rPr>
          <w:szCs w:val="24"/>
          <w:lang w:val="lv-LV"/>
        </w:rPr>
        <w:tab/>
        <w:t xml:space="preserve">Saskaņā ar Tukuma novada Domes </w:t>
      </w:r>
      <w:r w:rsidR="00205E31" w:rsidRPr="009A74A9">
        <w:rPr>
          <w:szCs w:val="24"/>
          <w:lang w:val="lv-LV"/>
        </w:rPr>
        <w:t xml:space="preserve">2010.gada 21.oktobra </w:t>
      </w:r>
      <w:r w:rsidRPr="009A74A9">
        <w:rPr>
          <w:szCs w:val="24"/>
          <w:lang w:val="lv-LV"/>
        </w:rPr>
        <w:t xml:space="preserve">saistošajiem noteikumiem </w:t>
      </w:r>
      <w:r w:rsidR="00205E31" w:rsidRPr="009A74A9">
        <w:rPr>
          <w:szCs w:val="24"/>
          <w:lang w:val="lv-LV"/>
        </w:rPr>
        <w:t xml:space="preserve">Nr.40 “Par transporta izdevumu segšanu vispārējās izglītības iestāžu un profesionālās ievirzes izglītības iestāžu izglītojamajiem Tukuma novada pašvaldībā“ (2015.gada 29.oktobra redakcijā), </w:t>
      </w:r>
      <w:r w:rsidRPr="009A74A9">
        <w:rPr>
          <w:szCs w:val="24"/>
          <w:lang w:val="lv-LV"/>
        </w:rPr>
        <w:t xml:space="preserve">Tukuma novada pašvaldība </w:t>
      </w:r>
      <w:r w:rsidR="0072016A" w:rsidRPr="009A74A9">
        <w:rPr>
          <w:szCs w:val="24"/>
          <w:lang w:val="lv-LV"/>
        </w:rPr>
        <w:t xml:space="preserve">daļēji </w:t>
      </w:r>
      <w:r w:rsidR="00205E31" w:rsidRPr="009A74A9">
        <w:rPr>
          <w:szCs w:val="24"/>
          <w:lang w:val="lv-LV"/>
        </w:rPr>
        <w:t xml:space="preserve">kompensē izglītojamo vecākiem vai citiem izglītojamā likumiskajiem pārstāvjiem izdevumus izglītojamā nogādāšanai uz </w:t>
      </w:r>
      <w:r w:rsidR="00205E31" w:rsidRPr="009A74A9">
        <w:rPr>
          <w:bCs/>
          <w:szCs w:val="24"/>
          <w:lang w:val="lv-LV"/>
        </w:rPr>
        <w:t>Kandavas, Jaunpils un Engures novadu pašvaldību</w:t>
      </w:r>
      <w:r w:rsidR="00205E31" w:rsidRPr="009A74A9">
        <w:rPr>
          <w:szCs w:val="24"/>
          <w:lang w:val="lv-LV"/>
        </w:rPr>
        <w:t xml:space="preserve"> profesionālās ievirzes izglītības iestādēm</w:t>
      </w:r>
      <w:r w:rsidR="00FA0A60" w:rsidRPr="009A74A9">
        <w:rPr>
          <w:szCs w:val="24"/>
          <w:lang w:val="lv-LV"/>
        </w:rPr>
        <w:t xml:space="preserve"> un atpakaļ.</w:t>
      </w:r>
      <w:r w:rsidR="004C53C7" w:rsidRPr="009A74A9">
        <w:rPr>
          <w:szCs w:val="24"/>
          <w:lang w:val="lv-LV"/>
        </w:rPr>
        <w:t xml:space="preserve"> </w:t>
      </w:r>
      <w:proofErr w:type="gramStart"/>
      <w:r w:rsidR="004C53C7" w:rsidRPr="009A74A9">
        <w:rPr>
          <w:color w:val="FF0000"/>
          <w:szCs w:val="24"/>
          <w:lang w:val="lv-LV"/>
        </w:rPr>
        <w:t>Bez tam</w:t>
      </w:r>
      <w:proofErr w:type="gramEnd"/>
      <w:r w:rsidR="004C53C7" w:rsidRPr="009A74A9">
        <w:rPr>
          <w:color w:val="FF0000"/>
          <w:szCs w:val="24"/>
          <w:lang w:val="lv-LV"/>
        </w:rPr>
        <w:t>, Kandavas novada profesionālās ievirzes izglītības iestādes saņem valsts finansējumu pedagogu darba samaksai un valsts sociālās apdrošināšanas iemaksām arī par tiem izglītojamajiem, kuru dzīvesvieta deklarēta Tukuma novada pašvaldības administratīvajā teritorijā.</w:t>
      </w:r>
    </w:p>
    <w:p w:rsidR="00FA0A60" w:rsidRPr="009A74A9" w:rsidRDefault="00877A77" w:rsidP="009A74A9">
      <w:pPr>
        <w:jc w:val="both"/>
        <w:rPr>
          <w:szCs w:val="24"/>
          <w:lang w:val="lv-LV"/>
        </w:rPr>
      </w:pPr>
      <w:r w:rsidRPr="009A74A9">
        <w:rPr>
          <w:szCs w:val="24"/>
          <w:lang w:val="lv-LV"/>
        </w:rPr>
        <w:tab/>
      </w:r>
      <w:r w:rsidR="004C7478" w:rsidRPr="009A74A9">
        <w:rPr>
          <w:szCs w:val="24"/>
          <w:lang w:val="lv-LV"/>
        </w:rPr>
        <w:t>Pēc</w:t>
      </w:r>
      <w:r w:rsidR="00E9325D" w:rsidRPr="009A74A9">
        <w:rPr>
          <w:szCs w:val="24"/>
          <w:lang w:val="lv-LV"/>
        </w:rPr>
        <w:t xml:space="preserve"> Valsts izglītības informācijas sistēmas datiem šobrīd Tukuma novada profesionālās ievirzes izglītības iestādes – Tukuma Mākslas skolu apmeklē </w:t>
      </w:r>
      <w:r w:rsidR="0072016A" w:rsidRPr="009A74A9">
        <w:rPr>
          <w:szCs w:val="24"/>
          <w:lang w:val="lv-LV"/>
        </w:rPr>
        <w:t xml:space="preserve">1, </w:t>
      </w:r>
      <w:r w:rsidR="00E9325D" w:rsidRPr="009A74A9">
        <w:rPr>
          <w:szCs w:val="24"/>
          <w:lang w:val="lv-LV"/>
        </w:rPr>
        <w:t xml:space="preserve">Tukuma Mūzikas skolu - </w:t>
      </w:r>
      <w:r w:rsidR="0072016A" w:rsidRPr="009A74A9">
        <w:rPr>
          <w:szCs w:val="24"/>
          <w:lang w:val="lv-LV"/>
        </w:rPr>
        <w:t xml:space="preserve">1, </w:t>
      </w:r>
      <w:r w:rsidR="00E9325D" w:rsidRPr="009A74A9">
        <w:rPr>
          <w:szCs w:val="24"/>
          <w:lang w:val="lv-LV"/>
        </w:rPr>
        <w:t xml:space="preserve">bet Tukuma Sporta skolu - </w:t>
      </w:r>
      <w:r w:rsidR="0072016A" w:rsidRPr="009A74A9">
        <w:rPr>
          <w:szCs w:val="24"/>
          <w:lang w:val="lv-LV"/>
        </w:rPr>
        <w:t xml:space="preserve">3 </w:t>
      </w:r>
      <w:r w:rsidR="00E9325D" w:rsidRPr="009A74A9">
        <w:rPr>
          <w:szCs w:val="24"/>
          <w:lang w:val="lv-LV"/>
        </w:rPr>
        <w:t xml:space="preserve">audzēkņi, kuru dzīvesvieta deklarēta Kandavas novadā. Kopējā summa, kas Kandavas novadam būtu jāmaksā, ja Tukuma novads piedāvātu slēgt līgumu par </w:t>
      </w:r>
      <w:r w:rsidR="005F4A44" w:rsidRPr="009A74A9">
        <w:rPr>
          <w:szCs w:val="24"/>
          <w:lang w:val="lv-LV"/>
        </w:rPr>
        <w:t xml:space="preserve">profesionālās ievirzes sniegtajiem pakalpojumiem par periodu no 2016.gada 1.janvāra līdz 2016.gada 30.aprīlim būtu </w:t>
      </w:r>
      <w:r w:rsidR="0072016A" w:rsidRPr="009A74A9">
        <w:rPr>
          <w:szCs w:val="24"/>
          <w:lang w:val="lv-LV"/>
        </w:rPr>
        <w:t xml:space="preserve">815,75 </w:t>
      </w:r>
      <w:proofErr w:type="spellStart"/>
      <w:r w:rsidR="005F4A44" w:rsidRPr="009A74A9">
        <w:rPr>
          <w:i/>
          <w:szCs w:val="24"/>
          <w:lang w:val="lv-LV"/>
        </w:rPr>
        <w:t>euro</w:t>
      </w:r>
      <w:proofErr w:type="spellEnd"/>
      <w:r w:rsidR="005F4A44" w:rsidRPr="009A74A9">
        <w:rPr>
          <w:szCs w:val="24"/>
          <w:lang w:val="lv-LV"/>
        </w:rPr>
        <w:t>.</w:t>
      </w:r>
    </w:p>
    <w:p w:rsidR="00B91774" w:rsidRPr="009A74A9" w:rsidRDefault="00B91774" w:rsidP="009A74A9">
      <w:pPr>
        <w:ind w:firstLine="720"/>
        <w:jc w:val="both"/>
        <w:rPr>
          <w:szCs w:val="24"/>
          <w:lang w:val="lv-LV"/>
        </w:rPr>
      </w:pPr>
      <w:r w:rsidRPr="009A74A9">
        <w:rPr>
          <w:szCs w:val="24"/>
          <w:lang w:val="lv-LV"/>
        </w:rPr>
        <w:t xml:space="preserve">Ņemot vērā iepriekš minēto un pamatojoties uz Ministru kabineta </w:t>
      </w:r>
      <w:r w:rsidR="00672315" w:rsidRPr="009A74A9">
        <w:rPr>
          <w:szCs w:val="24"/>
          <w:lang w:val="lv-LV"/>
        </w:rPr>
        <w:t>1999.gada 13.jūlija</w:t>
      </w:r>
      <w:r w:rsidRPr="009A74A9">
        <w:rPr>
          <w:szCs w:val="24"/>
          <w:lang w:val="lv-LV"/>
        </w:rPr>
        <w:t xml:space="preserve"> noteikumu Nr.250 “Kārtība, kādā veicami pašvaldību savstarpējie norēķini par izglītības iestāžu vai sociālās aprūpes iestāžu sniegtajiem pakalpojumiem“ 9.punktu:</w:t>
      </w:r>
    </w:p>
    <w:p w:rsidR="00B91774" w:rsidRPr="009A74A9" w:rsidRDefault="00B91774" w:rsidP="009A74A9">
      <w:pPr>
        <w:jc w:val="both"/>
        <w:rPr>
          <w:szCs w:val="24"/>
          <w:lang w:val="lv-LV"/>
        </w:rPr>
      </w:pPr>
    </w:p>
    <w:p w:rsidR="00B91774" w:rsidRPr="009A74A9" w:rsidRDefault="00672315" w:rsidP="009A74A9">
      <w:pPr>
        <w:ind w:firstLine="360"/>
        <w:jc w:val="both"/>
        <w:rPr>
          <w:b/>
          <w:i/>
          <w:szCs w:val="24"/>
          <w:lang w:val="lv-LV"/>
        </w:rPr>
      </w:pPr>
      <w:r w:rsidRPr="009A74A9">
        <w:rPr>
          <w:i/>
          <w:szCs w:val="24"/>
          <w:lang w:val="lv-LV"/>
        </w:rPr>
        <w:t xml:space="preserve">1. </w:t>
      </w:r>
      <w:r w:rsidR="00B91774" w:rsidRPr="009A74A9">
        <w:rPr>
          <w:i/>
          <w:szCs w:val="24"/>
          <w:lang w:val="lv-LV"/>
        </w:rPr>
        <w:t>variants</w:t>
      </w:r>
    </w:p>
    <w:p w:rsidR="00AC47E7" w:rsidRPr="009A74A9" w:rsidRDefault="00373F79" w:rsidP="009A74A9">
      <w:pPr>
        <w:jc w:val="both"/>
        <w:rPr>
          <w:szCs w:val="24"/>
          <w:lang w:val="lv-LV"/>
        </w:rPr>
      </w:pPr>
      <w:r>
        <w:rPr>
          <w:szCs w:val="24"/>
          <w:lang w:val="lv-LV"/>
        </w:rPr>
        <w:tab/>
      </w:r>
      <w:r w:rsidR="004C53C7" w:rsidRPr="009A74A9">
        <w:rPr>
          <w:szCs w:val="24"/>
          <w:lang w:val="lv-LV"/>
        </w:rPr>
        <w:t xml:space="preserve">1. </w:t>
      </w:r>
      <w:r w:rsidR="0061009D" w:rsidRPr="009A74A9">
        <w:rPr>
          <w:szCs w:val="24"/>
          <w:lang w:val="lv-LV"/>
        </w:rPr>
        <w:t>N</w:t>
      </w:r>
      <w:r w:rsidR="00B91774" w:rsidRPr="009A74A9">
        <w:rPr>
          <w:szCs w:val="24"/>
          <w:lang w:val="lv-LV"/>
        </w:rPr>
        <w:t>eslēgt līgumu ar Kandavas novada Izglītības pārvaldi par</w:t>
      </w:r>
      <w:r w:rsidR="00D75D2F" w:rsidRPr="009A74A9">
        <w:rPr>
          <w:szCs w:val="24"/>
          <w:lang w:val="lv-LV"/>
        </w:rPr>
        <w:t xml:space="preserve"> </w:t>
      </w:r>
      <w:r w:rsidR="00B91774" w:rsidRPr="009A74A9">
        <w:rPr>
          <w:szCs w:val="24"/>
          <w:lang w:val="lv-LV"/>
        </w:rPr>
        <w:t>pašvaldību savstarpējiem norēķiniem par profesionālās ievirzes izglītības iestāžu audzēkņiem, kuru dzīvesvieta ir deklarēta Tukuma novadā, bet kuri apmeklē Kandavas novada profesionālās ievirzes izglītības iestādes.</w:t>
      </w:r>
    </w:p>
    <w:p w:rsidR="004C53C7" w:rsidRPr="009A74A9" w:rsidRDefault="00373F79" w:rsidP="009A74A9">
      <w:pPr>
        <w:jc w:val="both"/>
        <w:rPr>
          <w:b/>
          <w:color w:val="FF0000"/>
          <w:szCs w:val="24"/>
          <w:lang w:val="lv-LV"/>
        </w:rPr>
      </w:pPr>
      <w:r>
        <w:rPr>
          <w:color w:val="FF0000"/>
          <w:szCs w:val="24"/>
          <w:lang w:val="lv-LV"/>
        </w:rPr>
        <w:tab/>
      </w:r>
      <w:r w:rsidR="004C53C7" w:rsidRPr="009A74A9">
        <w:rPr>
          <w:color w:val="FF0000"/>
          <w:szCs w:val="24"/>
          <w:lang w:val="lv-LV"/>
        </w:rPr>
        <w:t xml:space="preserve">2. Aicināt Kandavas novada pašvaldību nepiemērot diferencētu (paaugstinātu) vecāku līdzfinansējumu izglītojamo vecākiem par bērniem, kuru dzīvesvieta deklarēta </w:t>
      </w:r>
      <w:r w:rsidR="008F5556" w:rsidRPr="009A74A9">
        <w:rPr>
          <w:color w:val="FF0000"/>
          <w:szCs w:val="24"/>
          <w:lang w:val="lv-LV"/>
        </w:rPr>
        <w:t>Tukuma novada pašvaldības administratīvajā teritorijā, bet kuri apmeklē Kandavas novada pašvaldības profesionālās ievirzes izglītības iestādes.</w:t>
      </w:r>
    </w:p>
    <w:p w:rsidR="00672315" w:rsidRPr="009A74A9" w:rsidRDefault="00672315" w:rsidP="009A74A9">
      <w:pPr>
        <w:ind w:left="360"/>
        <w:jc w:val="both"/>
        <w:rPr>
          <w:b/>
          <w:szCs w:val="24"/>
          <w:lang w:val="lv-LV"/>
        </w:rPr>
      </w:pPr>
    </w:p>
    <w:p w:rsidR="00B91774" w:rsidRPr="009A74A9" w:rsidRDefault="00672315" w:rsidP="009A74A9">
      <w:pPr>
        <w:ind w:firstLine="360"/>
        <w:jc w:val="both"/>
        <w:rPr>
          <w:b/>
          <w:i/>
          <w:szCs w:val="24"/>
          <w:lang w:val="lv-LV"/>
        </w:rPr>
      </w:pPr>
      <w:r w:rsidRPr="009A74A9">
        <w:rPr>
          <w:i/>
          <w:szCs w:val="24"/>
          <w:lang w:val="lv-LV"/>
        </w:rPr>
        <w:t xml:space="preserve">2. </w:t>
      </w:r>
      <w:r w:rsidR="00B91774" w:rsidRPr="009A74A9">
        <w:rPr>
          <w:i/>
          <w:szCs w:val="24"/>
          <w:lang w:val="lv-LV"/>
        </w:rPr>
        <w:t>variants</w:t>
      </w:r>
    </w:p>
    <w:p w:rsidR="00672315" w:rsidRPr="009A74A9" w:rsidRDefault="00373F79" w:rsidP="009A74A9">
      <w:pPr>
        <w:jc w:val="both"/>
        <w:rPr>
          <w:szCs w:val="24"/>
          <w:lang w:val="lv-LV"/>
        </w:rPr>
      </w:pPr>
      <w:r>
        <w:rPr>
          <w:szCs w:val="24"/>
          <w:lang w:val="lv-LV"/>
        </w:rPr>
        <w:tab/>
      </w:r>
      <w:r w:rsidR="00672315" w:rsidRPr="009A74A9">
        <w:rPr>
          <w:szCs w:val="24"/>
          <w:lang w:val="lv-LV"/>
        </w:rPr>
        <w:t xml:space="preserve">1. </w:t>
      </w:r>
      <w:r w:rsidR="008A2AE5" w:rsidRPr="009A74A9">
        <w:rPr>
          <w:szCs w:val="24"/>
          <w:lang w:val="lv-LV"/>
        </w:rPr>
        <w:t xml:space="preserve">Sakarā ar to, ka Tukuma novada pašvaldības profesionālās </w:t>
      </w:r>
      <w:r w:rsidR="00B8005C" w:rsidRPr="009A74A9">
        <w:rPr>
          <w:szCs w:val="24"/>
          <w:lang w:val="lv-LV"/>
        </w:rPr>
        <w:t xml:space="preserve">ievirzes </w:t>
      </w:r>
      <w:r w:rsidR="008A2AE5" w:rsidRPr="009A74A9">
        <w:rPr>
          <w:szCs w:val="24"/>
          <w:lang w:val="lv-LV"/>
        </w:rPr>
        <w:t>izglītības iestādēs netiek īstenotas deju profesionālās ievirzes izglītības programmas, p</w:t>
      </w:r>
      <w:r w:rsidR="00672315" w:rsidRPr="009A74A9">
        <w:rPr>
          <w:szCs w:val="24"/>
          <w:lang w:val="lv-LV"/>
        </w:rPr>
        <w:t>ilnvarot Tukuma novada Izglītības pārvaldi slēgt līgumu ar Kandavas novada Izglītības pārvaldi par pašvaldību savstarpējiem norēķiniem par Kandavas Deju skolas audzēkņiem, kuru dzīvesvieta ir deklarēta Tukuma novadā, bet kuri apmeklē Kandavas Deju skolu.</w:t>
      </w:r>
    </w:p>
    <w:p w:rsidR="00672315" w:rsidRPr="009A74A9" w:rsidRDefault="00373F79" w:rsidP="009A74A9">
      <w:pPr>
        <w:jc w:val="both"/>
        <w:rPr>
          <w:szCs w:val="24"/>
          <w:lang w:val="lv-LV"/>
        </w:rPr>
      </w:pPr>
      <w:r>
        <w:rPr>
          <w:szCs w:val="24"/>
          <w:lang w:val="lv-LV"/>
        </w:rPr>
        <w:tab/>
      </w:r>
      <w:r w:rsidR="00672315" w:rsidRPr="009A74A9">
        <w:rPr>
          <w:szCs w:val="24"/>
          <w:lang w:val="lv-LV"/>
        </w:rPr>
        <w:t xml:space="preserve">2. Piešķirt Tukuma novada Izglītības pārvaldei 2016.gadā papildus līdzekļus 747,00 </w:t>
      </w:r>
      <w:proofErr w:type="spellStart"/>
      <w:r w:rsidR="00672315" w:rsidRPr="009A74A9">
        <w:rPr>
          <w:i/>
          <w:szCs w:val="24"/>
          <w:lang w:val="lv-LV"/>
        </w:rPr>
        <w:t>euro</w:t>
      </w:r>
      <w:proofErr w:type="spellEnd"/>
      <w:r w:rsidR="00672315" w:rsidRPr="009A74A9">
        <w:rPr>
          <w:szCs w:val="24"/>
          <w:lang w:val="lv-LV"/>
        </w:rPr>
        <w:t xml:space="preserve"> apmērā pašvaldību savstarpējiem norēķiniem par Kandavas Deju skolas audzēkņiem, kuru dzīvesvieta ir deklarēta Tukuma novadā, bet kuri apmeklē Kandavas Deju skolu.</w:t>
      </w:r>
    </w:p>
    <w:p w:rsidR="008F5556" w:rsidRPr="009A74A9" w:rsidRDefault="00373F79" w:rsidP="009A74A9">
      <w:pPr>
        <w:jc w:val="both"/>
        <w:rPr>
          <w:b/>
          <w:color w:val="FF0000"/>
          <w:szCs w:val="24"/>
          <w:lang w:val="lv-LV"/>
        </w:rPr>
      </w:pPr>
      <w:r>
        <w:rPr>
          <w:szCs w:val="24"/>
          <w:lang w:val="lv-LV"/>
        </w:rPr>
        <w:lastRenderedPageBreak/>
        <w:tab/>
      </w:r>
      <w:r w:rsidR="008F5556" w:rsidRPr="009A74A9">
        <w:rPr>
          <w:szCs w:val="24"/>
          <w:lang w:val="lv-LV"/>
        </w:rPr>
        <w:t xml:space="preserve">3. </w:t>
      </w:r>
      <w:r w:rsidR="008F5556" w:rsidRPr="009A74A9">
        <w:rPr>
          <w:color w:val="FF0000"/>
          <w:szCs w:val="24"/>
          <w:lang w:val="lv-LV"/>
        </w:rPr>
        <w:t xml:space="preserve">Aicināt Kandavas novada pašvaldību nepiemērot diferencētu (paaugstinātu) vecāku līdzfinansējumu izglītojamo vecākiem par bērniem, kuru dzīvesvieta deklarēta Tukuma novada pašvaldības administratīvajā teritorijā, bet kuri apmeklē Kandavas </w:t>
      </w:r>
      <w:r w:rsidR="006037FF" w:rsidRPr="009A74A9">
        <w:rPr>
          <w:color w:val="FF0000"/>
          <w:szCs w:val="24"/>
          <w:lang w:val="lv-LV"/>
        </w:rPr>
        <w:t>Mākslas un mūzikas skolu un Kandavas novada Bērnu un jaunatnes sporta skolu.</w:t>
      </w:r>
    </w:p>
    <w:p w:rsidR="00672315" w:rsidRPr="009A74A9" w:rsidRDefault="00672315" w:rsidP="009A74A9">
      <w:pPr>
        <w:ind w:firstLine="360"/>
        <w:jc w:val="both"/>
        <w:rPr>
          <w:i/>
          <w:szCs w:val="24"/>
          <w:lang w:val="lv-LV"/>
        </w:rPr>
      </w:pPr>
    </w:p>
    <w:p w:rsidR="00672315" w:rsidRPr="009A74A9" w:rsidRDefault="00672315" w:rsidP="009A74A9">
      <w:pPr>
        <w:ind w:firstLine="360"/>
        <w:jc w:val="both"/>
        <w:rPr>
          <w:szCs w:val="24"/>
          <w:lang w:val="lv-LV"/>
        </w:rPr>
      </w:pPr>
      <w:r w:rsidRPr="009A74A9">
        <w:rPr>
          <w:i/>
          <w:szCs w:val="24"/>
          <w:lang w:val="lv-LV"/>
        </w:rPr>
        <w:t>3.variants</w:t>
      </w:r>
      <w:r w:rsidRPr="009A74A9">
        <w:rPr>
          <w:szCs w:val="24"/>
          <w:lang w:val="lv-LV"/>
        </w:rPr>
        <w:t xml:space="preserve"> </w:t>
      </w:r>
    </w:p>
    <w:p w:rsidR="00B91774" w:rsidRPr="009A74A9" w:rsidRDefault="00373F79" w:rsidP="009A74A9">
      <w:pPr>
        <w:jc w:val="both"/>
        <w:rPr>
          <w:szCs w:val="24"/>
          <w:lang w:val="lv-LV"/>
        </w:rPr>
      </w:pPr>
      <w:r>
        <w:rPr>
          <w:szCs w:val="24"/>
          <w:lang w:val="lv-LV"/>
        </w:rPr>
        <w:tab/>
      </w:r>
      <w:r w:rsidR="00672315" w:rsidRPr="009A74A9">
        <w:rPr>
          <w:szCs w:val="24"/>
          <w:lang w:val="lv-LV"/>
        </w:rPr>
        <w:t xml:space="preserve">1. </w:t>
      </w:r>
      <w:r w:rsidR="00BC1A0D" w:rsidRPr="009A74A9">
        <w:rPr>
          <w:szCs w:val="24"/>
          <w:lang w:val="lv-LV"/>
        </w:rPr>
        <w:t>Pilnvarot Tukuma novada Izglītības pārvaldi s</w:t>
      </w:r>
      <w:r w:rsidR="00B91774" w:rsidRPr="009A74A9">
        <w:rPr>
          <w:szCs w:val="24"/>
          <w:lang w:val="lv-LV"/>
        </w:rPr>
        <w:t>lēgt līgumu ar Kandavas novada Izglītības pārvaldi par pašvaldību savstarpējiem norēķiniem par profesionālās ievirzes izglītības iestāžu audzēkņiem, kuru dzīvesvieta ir deklarēta Tukuma novadā, bet kuri apmeklē Kandavas novada profesionālās ievirzes izglītības iestādes.</w:t>
      </w:r>
    </w:p>
    <w:p w:rsidR="00B91774" w:rsidRPr="009A74A9" w:rsidRDefault="00373F79" w:rsidP="009A74A9">
      <w:pPr>
        <w:jc w:val="both"/>
        <w:rPr>
          <w:szCs w:val="24"/>
          <w:lang w:val="lv-LV"/>
        </w:rPr>
      </w:pPr>
      <w:r>
        <w:rPr>
          <w:szCs w:val="24"/>
          <w:lang w:val="lv-LV"/>
        </w:rPr>
        <w:tab/>
      </w:r>
      <w:r w:rsidR="00672315" w:rsidRPr="009A74A9">
        <w:rPr>
          <w:szCs w:val="24"/>
          <w:lang w:val="lv-LV"/>
        </w:rPr>
        <w:t xml:space="preserve">2. </w:t>
      </w:r>
      <w:r w:rsidR="00BC1A0D" w:rsidRPr="009A74A9">
        <w:rPr>
          <w:szCs w:val="24"/>
          <w:lang w:val="lv-LV"/>
        </w:rPr>
        <w:t xml:space="preserve">Piešķirt Tukuma novada Izglītības pārvaldei </w:t>
      </w:r>
      <w:r w:rsidR="00D4115B" w:rsidRPr="009A74A9">
        <w:rPr>
          <w:szCs w:val="24"/>
          <w:lang w:val="lv-LV"/>
        </w:rPr>
        <w:t xml:space="preserve">2016.gadā papildus līdzekļus </w:t>
      </w:r>
      <w:r w:rsidR="0061009D" w:rsidRPr="009A74A9">
        <w:rPr>
          <w:szCs w:val="24"/>
          <w:lang w:val="lv-LV"/>
        </w:rPr>
        <w:t>14307,60</w:t>
      </w:r>
      <w:r w:rsidR="0021070F" w:rsidRPr="009A74A9">
        <w:rPr>
          <w:szCs w:val="24"/>
          <w:lang w:val="lv-LV"/>
        </w:rPr>
        <w:t xml:space="preserve"> </w:t>
      </w:r>
      <w:proofErr w:type="spellStart"/>
      <w:r w:rsidR="0021070F" w:rsidRPr="009A74A9">
        <w:rPr>
          <w:i/>
          <w:szCs w:val="24"/>
          <w:lang w:val="lv-LV"/>
        </w:rPr>
        <w:t>euro</w:t>
      </w:r>
      <w:proofErr w:type="spellEnd"/>
      <w:r w:rsidR="00D4115B" w:rsidRPr="009A74A9">
        <w:rPr>
          <w:szCs w:val="24"/>
          <w:lang w:val="lv-LV"/>
        </w:rPr>
        <w:t xml:space="preserve"> apmērā pašvaldību savstarpējiem norēķiniem par profesionālās ievirzes izglītības iestāžu audzēkņiem, kuru dzīvesvieta ir deklarēta Tukuma novadā, bet kuri apmeklē Kandavas novada profesionālās ievirzes izglītības iestādes.</w:t>
      </w:r>
    </w:p>
    <w:p w:rsidR="00D4115B" w:rsidRPr="009A74A9" w:rsidRDefault="00D4115B" w:rsidP="009A74A9">
      <w:pPr>
        <w:jc w:val="both"/>
        <w:rPr>
          <w:szCs w:val="24"/>
          <w:lang w:val="lv-LV"/>
        </w:rPr>
      </w:pPr>
    </w:p>
    <w:p w:rsidR="00953501" w:rsidRDefault="00953501"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Default="00373F79" w:rsidP="009A74A9">
      <w:pPr>
        <w:jc w:val="both"/>
        <w:rPr>
          <w:szCs w:val="24"/>
          <w:lang w:val="lv-LV"/>
        </w:rPr>
      </w:pPr>
    </w:p>
    <w:p w:rsidR="00373F79" w:rsidRPr="009A74A9" w:rsidRDefault="00373F79" w:rsidP="009A74A9">
      <w:pPr>
        <w:jc w:val="both"/>
        <w:rPr>
          <w:szCs w:val="24"/>
          <w:lang w:val="lv-LV"/>
        </w:rPr>
      </w:pPr>
    </w:p>
    <w:p w:rsidR="00953501" w:rsidRPr="00587D27" w:rsidRDefault="00953501" w:rsidP="009A74A9">
      <w:pPr>
        <w:jc w:val="both"/>
        <w:rPr>
          <w:rFonts w:eastAsia="Calibri"/>
          <w:sz w:val="20"/>
          <w:lang w:val="lv-LV"/>
        </w:rPr>
      </w:pPr>
      <w:r w:rsidRPr="00587D27">
        <w:rPr>
          <w:rFonts w:eastAsia="Calibri"/>
          <w:sz w:val="20"/>
          <w:lang w:val="lv-LV"/>
        </w:rPr>
        <w:t>Nosūtīt:</w:t>
      </w:r>
    </w:p>
    <w:p w:rsidR="00953501" w:rsidRPr="00587D27" w:rsidRDefault="00953501" w:rsidP="009A74A9">
      <w:pPr>
        <w:jc w:val="both"/>
        <w:rPr>
          <w:rFonts w:eastAsia="Calibri"/>
          <w:sz w:val="20"/>
          <w:lang w:val="lv-LV"/>
        </w:rPr>
      </w:pPr>
      <w:r w:rsidRPr="00587D27">
        <w:rPr>
          <w:rFonts w:eastAsia="Calibri"/>
          <w:sz w:val="20"/>
          <w:lang w:val="lv-LV"/>
        </w:rPr>
        <w:t xml:space="preserve">- </w:t>
      </w:r>
      <w:proofErr w:type="spellStart"/>
      <w:r w:rsidRPr="00587D27">
        <w:rPr>
          <w:rFonts w:eastAsia="Calibri"/>
          <w:sz w:val="20"/>
          <w:lang w:val="lv-LV"/>
        </w:rPr>
        <w:t>Izgl.pārv</w:t>
      </w:r>
      <w:proofErr w:type="spellEnd"/>
      <w:r w:rsidRPr="00587D27">
        <w:rPr>
          <w:rFonts w:eastAsia="Calibri"/>
          <w:sz w:val="20"/>
          <w:lang w:val="lv-LV"/>
        </w:rPr>
        <w:t>. (</w:t>
      </w:r>
      <w:proofErr w:type="spellStart"/>
      <w:r w:rsidRPr="00587D27">
        <w:rPr>
          <w:rFonts w:eastAsia="Calibri"/>
          <w:sz w:val="20"/>
          <w:lang w:val="lv-LV"/>
        </w:rPr>
        <w:t>el</w:t>
      </w:r>
      <w:proofErr w:type="spellEnd"/>
      <w:r w:rsidRPr="00587D27">
        <w:rPr>
          <w:rFonts w:eastAsia="Calibri"/>
          <w:sz w:val="20"/>
          <w:lang w:val="lv-LV"/>
        </w:rPr>
        <w:t>. 1 eks.)</w:t>
      </w:r>
    </w:p>
    <w:p w:rsidR="00953501" w:rsidRPr="00587D27" w:rsidRDefault="00953501" w:rsidP="009A74A9">
      <w:pPr>
        <w:jc w:val="both"/>
        <w:rPr>
          <w:rFonts w:eastAsia="Calibri"/>
          <w:sz w:val="20"/>
          <w:lang w:val="lv-LV"/>
        </w:rPr>
      </w:pPr>
      <w:r w:rsidRPr="00587D27">
        <w:rPr>
          <w:rFonts w:eastAsia="Calibri"/>
          <w:sz w:val="20"/>
          <w:lang w:val="lv-LV"/>
        </w:rPr>
        <w:t>-</w:t>
      </w:r>
      <w:proofErr w:type="spellStart"/>
      <w:r w:rsidRPr="00587D27">
        <w:rPr>
          <w:rFonts w:eastAsia="Calibri"/>
          <w:sz w:val="20"/>
          <w:lang w:val="lv-LV"/>
        </w:rPr>
        <w:t>Administr.nod</w:t>
      </w:r>
      <w:proofErr w:type="spellEnd"/>
      <w:r w:rsidRPr="00587D27">
        <w:rPr>
          <w:rFonts w:eastAsia="Calibri"/>
          <w:sz w:val="20"/>
          <w:lang w:val="lv-LV"/>
        </w:rPr>
        <w:t xml:space="preserve">. </w:t>
      </w:r>
    </w:p>
    <w:p w:rsidR="00953501" w:rsidRPr="00587D27" w:rsidRDefault="00953501" w:rsidP="009A74A9">
      <w:pPr>
        <w:jc w:val="both"/>
        <w:rPr>
          <w:rFonts w:eastAsia="Calibri"/>
          <w:sz w:val="20"/>
          <w:lang w:val="lv-LV"/>
        </w:rPr>
      </w:pPr>
      <w:r w:rsidRPr="00587D27">
        <w:rPr>
          <w:rFonts w:eastAsia="Calibri"/>
          <w:sz w:val="20"/>
          <w:lang w:val="lv-LV"/>
        </w:rPr>
        <w:t>- Kandavas nov.</w:t>
      </w:r>
      <w:r w:rsidR="0061009D" w:rsidRPr="00587D27">
        <w:rPr>
          <w:rFonts w:eastAsia="Calibri"/>
          <w:sz w:val="20"/>
          <w:lang w:val="lv-LV"/>
        </w:rPr>
        <w:t xml:space="preserve"> </w:t>
      </w:r>
      <w:r w:rsidRPr="00587D27">
        <w:rPr>
          <w:rFonts w:eastAsia="Calibri"/>
          <w:sz w:val="20"/>
          <w:lang w:val="lv-LV"/>
        </w:rPr>
        <w:t>Izglītības pārvaldei</w:t>
      </w:r>
    </w:p>
    <w:p w:rsidR="00953501" w:rsidRPr="00587D27" w:rsidRDefault="00953501" w:rsidP="009A74A9">
      <w:pPr>
        <w:jc w:val="both"/>
        <w:rPr>
          <w:rFonts w:eastAsia="Calibri"/>
          <w:sz w:val="20"/>
          <w:lang w:val="lv-LV"/>
        </w:rPr>
      </w:pPr>
      <w:r w:rsidRPr="00587D27">
        <w:rPr>
          <w:rFonts w:eastAsia="Calibri"/>
          <w:sz w:val="20"/>
          <w:lang w:val="lv-LV"/>
        </w:rPr>
        <w:t>__________________________</w:t>
      </w:r>
    </w:p>
    <w:p w:rsidR="00953501" w:rsidRPr="00587D27" w:rsidRDefault="00953501" w:rsidP="009A74A9">
      <w:pPr>
        <w:jc w:val="both"/>
        <w:rPr>
          <w:rFonts w:eastAsia="Calibri"/>
          <w:sz w:val="20"/>
          <w:lang w:val="lv-LV"/>
        </w:rPr>
      </w:pPr>
      <w:r w:rsidRPr="00587D27">
        <w:rPr>
          <w:rFonts w:eastAsia="Calibri"/>
          <w:sz w:val="20"/>
          <w:lang w:val="lv-LV"/>
        </w:rPr>
        <w:t>Sagatavoja I</w:t>
      </w:r>
      <w:r w:rsidR="0061009D" w:rsidRPr="00587D27">
        <w:rPr>
          <w:rFonts w:eastAsia="Calibri"/>
          <w:sz w:val="20"/>
          <w:lang w:val="lv-LV"/>
        </w:rPr>
        <w:t>zglītības pārvalde (K.Logina</w:t>
      </w:r>
      <w:r w:rsidRPr="00587D27">
        <w:rPr>
          <w:rFonts w:eastAsia="Calibri"/>
          <w:sz w:val="20"/>
          <w:lang w:val="lv-LV"/>
        </w:rPr>
        <w:t xml:space="preserve">), saskaņots ar vadītāju N. </w:t>
      </w:r>
      <w:proofErr w:type="spellStart"/>
      <w:r w:rsidRPr="00587D27">
        <w:rPr>
          <w:rFonts w:eastAsia="Calibri"/>
          <w:sz w:val="20"/>
          <w:lang w:val="lv-LV"/>
        </w:rPr>
        <w:t>Reču</w:t>
      </w:r>
      <w:proofErr w:type="spellEnd"/>
    </w:p>
    <w:p w:rsidR="00426511" w:rsidRPr="002B069C" w:rsidRDefault="00426511" w:rsidP="002B069C">
      <w:pPr>
        <w:rPr>
          <w:rFonts w:eastAsia="Calibri"/>
          <w:szCs w:val="24"/>
          <w:lang w:val="lv-LV"/>
        </w:rPr>
      </w:pPr>
      <w:bookmarkStart w:id="0" w:name="_GoBack"/>
      <w:bookmarkEnd w:id="0"/>
    </w:p>
    <w:sectPr w:rsidR="00426511" w:rsidRPr="002B069C" w:rsidSect="00EA6D25">
      <w:footerReference w:type="default" r:id="rId11"/>
      <w:pgSz w:w="11906" w:h="16838"/>
      <w:pgMar w:top="567" w:right="1134"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20" w:rsidRDefault="00EF3420" w:rsidP="00D62F93">
      <w:r>
        <w:separator/>
      </w:r>
    </w:p>
  </w:endnote>
  <w:endnote w:type="continuationSeparator" w:id="0">
    <w:p w:rsidR="00EF3420" w:rsidRDefault="00EF3420" w:rsidP="00D6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2"/>
        <w:szCs w:val="12"/>
      </w:rPr>
      <w:id w:val="-360981497"/>
      <w:docPartObj>
        <w:docPartGallery w:val="Page Numbers (Bottom of Page)"/>
        <w:docPartUnique/>
      </w:docPartObj>
    </w:sdtPr>
    <w:sdtEndPr>
      <w:rPr>
        <w:noProof/>
      </w:rPr>
    </w:sdtEndPr>
    <w:sdtContent>
      <w:p w:rsidR="00373F79" w:rsidRPr="00373F79" w:rsidRDefault="00373F79">
        <w:pPr>
          <w:pStyle w:val="Footer"/>
          <w:jc w:val="center"/>
          <w:rPr>
            <w:sz w:val="12"/>
            <w:szCs w:val="12"/>
          </w:rPr>
        </w:pPr>
        <w:r w:rsidRPr="00373F79">
          <w:rPr>
            <w:sz w:val="12"/>
            <w:szCs w:val="12"/>
          </w:rPr>
          <w:t>Iks5-16</w:t>
        </w:r>
      </w:p>
      <w:p w:rsidR="00373F79" w:rsidRPr="00373F79" w:rsidRDefault="00373F79">
        <w:pPr>
          <w:pStyle w:val="Footer"/>
          <w:jc w:val="center"/>
          <w:rPr>
            <w:sz w:val="12"/>
            <w:szCs w:val="12"/>
          </w:rPr>
        </w:pPr>
        <w:r w:rsidRPr="00373F79">
          <w:rPr>
            <w:sz w:val="12"/>
            <w:szCs w:val="12"/>
          </w:rPr>
          <w:fldChar w:fldCharType="begin"/>
        </w:r>
        <w:r w:rsidRPr="00373F79">
          <w:rPr>
            <w:sz w:val="12"/>
            <w:szCs w:val="12"/>
          </w:rPr>
          <w:instrText xml:space="preserve"> PAGE   \* MERGEFORMAT </w:instrText>
        </w:r>
        <w:r w:rsidRPr="00373F79">
          <w:rPr>
            <w:sz w:val="12"/>
            <w:szCs w:val="12"/>
          </w:rPr>
          <w:fldChar w:fldCharType="separate"/>
        </w:r>
        <w:r w:rsidR="002B069C">
          <w:rPr>
            <w:noProof/>
            <w:sz w:val="12"/>
            <w:szCs w:val="12"/>
          </w:rPr>
          <w:t>1</w:t>
        </w:r>
        <w:r w:rsidRPr="00373F79">
          <w:rPr>
            <w:noProof/>
            <w:sz w:val="12"/>
            <w:szCs w:val="12"/>
          </w:rPr>
          <w:fldChar w:fldCharType="end"/>
        </w:r>
      </w:p>
    </w:sdtContent>
  </w:sdt>
  <w:p w:rsidR="00373F79" w:rsidRDefault="00373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20" w:rsidRDefault="00EF3420" w:rsidP="00D62F93">
      <w:r>
        <w:separator/>
      </w:r>
    </w:p>
  </w:footnote>
  <w:footnote w:type="continuationSeparator" w:id="0">
    <w:p w:rsidR="00EF3420" w:rsidRDefault="00EF3420" w:rsidP="00D62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9A0"/>
    <w:multiLevelType w:val="hybridMultilevel"/>
    <w:tmpl w:val="89F020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4F958A3"/>
    <w:multiLevelType w:val="hybridMultilevel"/>
    <w:tmpl w:val="4A1A33DA"/>
    <w:lvl w:ilvl="0" w:tplc="249E2C84">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6FD61ED"/>
    <w:multiLevelType w:val="hybridMultilevel"/>
    <w:tmpl w:val="9596206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AA7787E"/>
    <w:multiLevelType w:val="multilevel"/>
    <w:tmpl w:val="CF82607A"/>
    <w:lvl w:ilvl="0">
      <w:start w:val="1"/>
      <w:numFmt w:val="decimal"/>
      <w:lvlText w:val="%1."/>
      <w:lvlJc w:val="left"/>
      <w:pPr>
        <w:ind w:left="660" w:hanging="360"/>
      </w:pPr>
      <w:rPr>
        <w:rFonts w:hint="default"/>
      </w:rPr>
    </w:lvl>
    <w:lvl w:ilvl="1">
      <w:start w:val="1"/>
      <w:numFmt w:val="decimal"/>
      <w:isLgl/>
      <w:lvlText w:val="%1.%2."/>
      <w:lvlJc w:val="left"/>
      <w:pPr>
        <w:ind w:left="1200" w:hanging="54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4">
    <w:nsid w:val="3B3C1AF0"/>
    <w:multiLevelType w:val="hybridMultilevel"/>
    <w:tmpl w:val="D884C8C6"/>
    <w:lvl w:ilvl="0" w:tplc="B3B223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56971DEB"/>
    <w:multiLevelType w:val="multilevel"/>
    <w:tmpl w:val="E6F00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2D"/>
    <w:rsid w:val="00020DB9"/>
    <w:rsid w:val="00027091"/>
    <w:rsid w:val="000979C5"/>
    <w:rsid w:val="000A0A43"/>
    <w:rsid w:val="000A0B64"/>
    <w:rsid w:val="000D3BD3"/>
    <w:rsid w:val="001519A7"/>
    <w:rsid w:val="0016327B"/>
    <w:rsid w:val="001B2855"/>
    <w:rsid w:val="00205E31"/>
    <w:rsid w:val="0021070F"/>
    <w:rsid w:val="00212BE4"/>
    <w:rsid w:val="00231950"/>
    <w:rsid w:val="002B069C"/>
    <w:rsid w:val="002D575B"/>
    <w:rsid w:val="003333CC"/>
    <w:rsid w:val="00373F79"/>
    <w:rsid w:val="00426511"/>
    <w:rsid w:val="004445CD"/>
    <w:rsid w:val="0046152C"/>
    <w:rsid w:val="00465749"/>
    <w:rsid w:val="004823D7"/>
    <w:rsid w:val="004A2475"/>
    <w:rsid w:val="004C3CD5"/>
    <w:rsid w:val="004C53C7"/>
    <w:rsid w:val="004C7478"/>
    <w:rsid w:val="004F118E"/>
    <w:rsid w:val="00504096"/>
    <w:rsid w:val="005044E6"/>
    <w:rsid w:val="00587D27"/>
    <w:rsid w:val="00595359"/>
    <w:rsid w:val="005D2B5E"/>
    <w:rsid w:val="005F4A44"/>
    <w:rsid w:val="006037FF"/>
    <w:rsid w:val="0061009D"/>
    <w:rsid w:val="00672315"/>
    <w:rsid w:val="006E2D57"/>
    <w:rsid w:val="00706080"/>
    <w:rsid w:val="00712392"/>
    <w:rsid w:val="0072016A"/>
    <w:rsid w:val="00726417"/>
    <w:rsid w:val="00727702"/>
    <w:rsid w:val="0073536A"/>
    <w:rsid w:val="007E0FE2"/>
    <w:rsid w:val="00843D2D"/>
    <w:rsid w:val="00877A77"/>
    <w:rsid w:val="008A2AE5"/>
    <w:rsid w:val="008F5556"/>
    <w:rsid w:val="00953501"/>
    <w:rsid w:val="009A74A9"/>
    <w:rsid w:val="009C3454"/>
    <w:rsid w:val="009D2B04"/>
    <w:rsid w:val="00AC47E7"/>
    <w:rsid w:val="00AE5CD5"/>
    <w:rsid w:val="00B11F83"/>
    <w:rsid w:val="00B8005C"/>
    <w:rsid w:val="00B91774"/>
    <w:rsid w:val="00BC07FB"/>
    <w:rsid w:val="00BC1A0D"/>
    <w:rsid w:val="00BF3A3F"/>
    <w:rsid w:val="00C06F47"/>
    <w:rsid w:val="00C75D0C"/>
    <w:rsid w:val="00CE19A0"/>
    <w:rsid w:val="00CE3035"/>
    <w:rsid w:val="00D4115B"/>
    <w:rsid w:val="00D62F93"/>
    <w:rsid w:val="00D75D2F"/>
    <w:rsid w:val="00E01744"/>
    <w:rsid w:val="00E55094"/>
    <w:rsid w:val="00E77CCD"/>
    <w:rsid w:val="00E9325D"/>
    <w:rsid w:val="00EA6D25"/>
    <w:rsid w:val="00ED4410"/>
    <w:rsid w:val="00EF3420"/>
    <w:rsid w:val="00F60BDD"/>
    <w:rsid w:val="00FA0A60"/>
    <w:rsid w:val="00FB59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E7"/>
    <w:pPr>
      <w:spacing w:after="0" w:line="240" w:lineRule="auto"/>
    </w:pPr>
    <w:rPr>
      <w:rFonts w:ascii="Times New Roman" w:eastAsia="Times New Roman" w:hAnsi="Times New Roman" w:cs="Times New Roman"/>
      <w:sz w:val="24"/>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B04"/>
    <w:rPr>
      <w:color w:val="0000FF"/>
      <w:u w:val="single"/>
    </w:rPr>
  </w:style>
  <w:style w:type="paragraph" w:styleId="ListParagraph">
    <w:name w:val="List Paragraph"/>
    <w:basedOn w:val="Normal"/>
    <w:uiPriority w:val="99"/>
    <w:qFormat/>
    <w:rsid w:val="00B91774"/>
    <w:pPr>
      <w:ind w:left="720"/>
      <w:contextualSpacing/>
    </w:pPr>
  </w:style>
  <w:style w:type="paragraph" w:styleId="BalloonText">
    <w:name w:val="Balloon Text"/>
    <w:basedOn w:val="Normal"/>
    <w:link w:val="BalloonTextChar"/>
    <w:uiPriority w:val="99"/>
    <w:semiHidden/>
    <w:unhideWhenUsed/>
    <w:rsid w:val="00953501"/>
    <w:rPr>
      <w:rFonts w:ascii="Tahoma" w:hAnsi="Tahoma" w:cs="Tahoma"/>
      <w:sz w:val="16"/>
      <w:szCs w:val="16"/>
    </w:rPr>
  </w:style>
  <w:style w:type="character" w:customStyle="1" w:styleId="BalloonTextChar">
    <w:name w:val="Balloon Text Char"/>
    <w:basedOn w:val="DefaultParagraphFont"/>
    <w:link w:val="BalloonText"/>
    <w:uiPriority w:val="99"/>
    <w:semiHidden/>
    <w:rsid w:val="00953501"/>
    <w:rPr>
      <w:rFonts w:ascii="Tahoma" w:eastAsia="Times New Roman" w:hAnsi="Tahoma" w:cs="Tahoma"/>
      <w:sz w:val="16"/>
      <w:szCs w:val="16"/>
      <w:lang w:val="de-DE" w:eastAsia="lv-LV"/>
    </w:rPr>
  </w:style>
  <w:style w:type="character" w:styleId="CommentReference">
    <w:name w:val="annotation reference"/>
    <w:basedOn w:val="DefaultParagraphFont"/>
    <w:uiPriority w:val="99"/>
    <w:semiHidden/>
    <w:unhideWhenUsed/>
    <w:rsid w:val="00B11F83"/>
    <w:rPr>
      <w:sz w:val="16"/>
      <w:szCs w:val="16"/>
    </w:rPr>
  </w:style>
  <w:style w:type="paragraph" w:styleId="CommentText">
    <w:name w:val="annotation text"/>
    <w:basedOn w:val="Normal"/>
    <w:link w:val="CommentTextChar"/>
    <w:uiPriority w:val="99"/>
    <w:semiHidden/>
    <w:unhideWhenUsed/>
    <w:rsid w:val="00B11F83"/>
    <w:rPr>
      <w:sz w:val="20"/>
    </w:rPr>
  </w:style>
  <w:style w:type="character" w:customStyle="1" w:styleId="CommentTextChar">
    <w:name w:val="Comment Text Char"/>
    <w:basedOn w:val="DefaultParagraphFont"/>
    <w:link w:val="CommentText"/>
    <w:uiPriority w:val="99"/>
    <w:semiHidden/>
    <w:rsid w:val="00B11F83"/>
    <w:rPr>
      <w:rFonts w:ascii="Times New Roman" w:eastAsia="Times New Roman" w:hAnsi="Times New Roman" w:cs="Times New Roman"/>
      <w:sz w:val="20"/>
      <w:szCs w:val="20"/>
      <w:lang w:val="de-DE" w:eastAsia="lv-LV"/>
    </w:rPr>
  </w:style>
  <w:style w:type="paragraph" w:styleId="CommentSubject">
    <w:name w:val="annotation subject"/>
    <w:basedOn w:val="CommentText"/>
    <w:next w:val="CommentText"/>
    <w:link w:val="CommentSubjectChar"/>
    <w:uiPriority w:val="99"/>
    <w:semiHidden/>
    <w:unhideWhenUsed/>
    <w:rsid w:val="00B11F83"/>
    <w:rPr>
      <w:b/>
      <w:bCs/>
    </w:rPr>
  </w:style>
  <w:style w:type="character" w:customStyle="1" w:styleId="CommentSubjectChar">
    <w:name w:val="Comment Subject Char"/>
    <w:basedOn w:val="CommentTextChar"/>
    <w:link w:val="CommentSubject"/>
    <w:uiPriority w:val="99"/>
    <w:semiHidden/>
    <w:rsid w:val="00B11F83"/>
    <w:rPr>
      <w:rFonts w:ascii="Times New Roman" w:eastAsia="Times New Roman" w:hAnsi="Times New Roman" w:cs="Times New Roman"/>
      <w:b/>
      <w:bCs/>
      <w:sz w:val="20"/>
      <w:szCs w:val="20"/>
      <w:lang w:val="de-DE" w:eastAsia="lv-LV"/>
    </w:rPr>
  </w:style>
  <w:style w:type="character" w:customStyle="1" w:styleId="apple-converted-space">
    <w:name w:val="apple-converted-space"/>
    <w:basedOn w:val="DefaultParagraphFont"/>
    <w:rsid w:val="00E01744"/>
  </w:style>
  <w:style w:type="numbering" w:customStyle="1" w:styleId="Bezsaraksta1">
    <w:name w:val="Bez saraksta1"/>
    <w:next w:val="NoList"/>
    <w:uiPriority w:val="99"/>
    <w:semiHidden/>
    <w:unhideWhenUsed/>
    <w:rsid w:val="004445CD"/>
  </w:style>
  <w:style w:type="table" w:styleId="TableGrid">
    <w:name w:val="Table Grid"/>
    <w:basedOn w:val="TableNormal"/>
    <w:uiPriority w:val="99"/>
    <w:rsid w:val="004445CD"/>
    <w:pPr>
      <w:spacing w:after="0" w:line="240" w:lineRule="auto"/>
    </w:pPr>
    <w:rPr>
      <w:rFonts w:ascii="Calibri" w:eastAsia="Calibri" w:hAnsi="Calibri" w:cs="Calibri"/>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4445CD"/>
    <w:pPr>
      <w:tabs>
        <w:tab w:val="center" w:pos="4153"/>
        <w:tab w:val="right" w:pos="8306"/>
      </w:tabs>
    </w:pPr>
    <w:rPr>
      <w:sz w:val="20"/>
      <w:lang w:val="lv-LV" w:eastAsia="en-US"/>
    </w:rPr>
  </w:style>
  <w:style w:type="character" w:customStyle="1" w:styleId="HeaderChar">
    <w:name w:val="Header Char"/>
    <w:basedOn w:val="DefaultParagraphFont"/>
    <w:link w:val="Header"/>
    <w:uiPriority w:val="99"/>
    <w:semiHidden/>
    <w:rsid w:val="004445CD"/>
    <w:rPr>
      <w:rFonts w:ascii="Times New Roman" w:eastAsia="Times New Roman" w:hAnsi="Times New Roman" w:cs="Times New Roman"/>
      <w:sz w:val="20"/>
      <w:szCs w:val="20"/>
    </w:rPr>
  </w:style>
  <w:style w:type="paragraph" w:styleId="Footer">
    <w:name w:val="footer"/>
    <w:basedOn w:val="Normal"/>
    <w:link w:val="FooterChar"/>
    <w:uiPriority w:val="99"/>
    <w:rsid w:val="004445CD"/>
    <w:pPr>
      <w:tabs>
        <w:tab w:val="center" w:pos="4153"/>
        <w:tab w:val="right" w:pos="8306"/>
      </w:tabs>
    </w:pPr>
    <w:rPr>
      <w:sz w:val="20"/>
      <w:lang w:val="lv-LV" w:eastAsia="en-US"/>
    </w:rPr>
  </w:style>
  <w:style w:type="character" w:customStyle="1" w:styleId="FooterChar">
    <w:name w:val="Footer Char"/>
    <w:basedOn w:val="DefaultParagraphFont"/>
    <w:link w:val="Footer"/>
    <w:uiPriority w:val="99"/>
    <w:rsid w:val="004445C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E7"/>
    <w:pPr>
      <w:spacing w:after="0" w:line="240" w:lineRule="auto"/>
    </w:pPr>
    <w:rPr>
      <w:rFonts w:ascii="Times New Roman" w:eastAsia="Times New Roman" w:hAnsi="Times New Roman" w:cs="Times New Roman"/>
      <w:sz w:val="24"/>
      <w:szCs w:val="20"/>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B04"/>
    <w:rPr>
      <w:color w:val="0000FF"/>
      <w:u w:val="single"/>
    </w:rPr>
  </w:style>
  <w:style w:type="paragraph" w:styleId="ListParagraph">
    <w:name w:val="List Paragraph"/>
    <w:basedOn w:val="Normal"/>
    <w:uiPriority w:val="99"/>
    <w:qFormat/>
    <w:rsid w:val="00B91774"/>
    <w:pPr>
      <w:ind w:left="720"/>
      <w:contextualSpacing/>
    </w:pPr>
  </w:style>
  <w:style w:type="paragraph" w:styleId="BalloonText">
    <w:name w:val="Balloon Text"/>
    <w:basedOn w:val="Normal"/>
    <w:link w:val="BalloonTextChar"/>
    <w:uiPriority w:val="99"/>
    <w:semiHidden/>
    <w:unhideWhenUsed/>
    <w:rsid w:val="00953501"/>
    <w:rPr>
      <w:rFonts w:ascii="Tahoma" w:hAnsi="Tahoma" w:cs="Tahoma"/>
      <w:sz w:val="16"/>
      <w:szCs w:val="16"/>
    </w:rPr>
  </w:style>
  <w:style w:type="character" w:customStyle="1" w:styleId="BalloonTextChar">
    <w:name w:val="Balloon Text Char"/>
    <w:basedOn w:val="DefaultParagraphFont"/>
    <w:link w:val="BalloonText"/>
    <w:uiPriority w:val="99"/>
    <w:semiHidden/>
    <w:rsid w:val="00953501"/>
    <w:rPr>
      <w:rFonts w:ascii="Tahoma" w:eastAsia="Times New Roman" w:hAnsi="Tahoma" w:cs="Tahoma"/>
      <w:sz w:val="16"/>
      <w:szCs w:val="16"/>
      <w:lang w:val="de-DE" w:eastAsia="lv-LV"/>
    </w:rPr>
  </w:style>
  <w:style w:type="character" w:styleId="CommentReference">
    <w:name w:val="annotation reference"/>
    <w:basedOn w:val="DefaultParagraphFont"/>
    <w:uiPriority w:val="99"/>
    <w:semiHidden/>
    <w:unhideWhenUsed/>
    <w:rsid w:val="00B11F83"/>
    <w:rPr>
      <w:sz w:val="16"/>
      <w:szCs w:val="16"/>
    </w:rPr>
  </w:style>
  <w:style w:type="paragraph" w:styleId="CommentText">
    <w:name w:val="annotation text"/>
    <w:basedOn w:val="Normal"/>
    <w:link w:val="CommentTextChar"/>
    <w:uiPriority w:val="99"/>
    <w:semiHidden/>
    <w:unhideWhenUsed/>
    <w:rsid w:val="00B11F83"/>
    <w:rPr>
      <w:sz w:val="20"/>
    </w:rPr>
  </w:style>
  <w:style w:type="character" w:customStyle="1" w:styleId="CommentTextChar">
    <w:name w:val="Comment Text Char"/>
    <w:basedOn w:val="DefaultParagraphFont"/>
    <w:link w:val="CommentText"/>
    <w:uiPriority w:val="99"/>
    <w:semiHidden/>
    <w:rsid w:val="00B11F83"/>
    <w:rPr>
      <w:rFonts w:ascii="Times New Roman" w:eastAsia="Times New Roman" w:hAnsi="Times New Roman" w:cs="Times New Roman"/>
      <w:sz w:val="20"/>
      <w:szCs w:val="20"/>
      <w:lang w:val="de-DE" w:eastAsia="lv-LV"/>
    </w:rPr>
  </w:style>
  <w:style w:type="paragraph" w:styleId="CommentSubject">
    <w:name w:val="annotation subject"/>
    <w:basedOn w:val="CommentText"/>
    <w:next w:val="CommentText"/>
    <w:link w:val="CommentSubjectChar"/>
    <w:uiPriority w:val="99"/>
    <w:semiHidden/>
    <w:unhideWhenUsed/>
    <w:rsid w:val="00B11F83"/>
    <w:rPr>
      <w:b/>
      <w:bCs/>
    </w:rPr>
  </w:style>
  <w:style w:type="character" w:customStyle="1" w:styleId="CommentSubjectChar">
    <w:name w:val="Comment Subject Char"/>
    <w:basedOn w:val="CommentTextChar"/>
    <w:link w:val="CommentSubject"/>
    <w:uiPriority w:val="99"/>
    <w:semiHidden/>
    <w:rsid w:val="00B11F83"/>
    <w:rPr>
      <w:rFonts w:ascii="Times New Roman" w:eastAsia="Times New Roman" w:hAnsi="Times New Roman" w:cs="Times New Roman"/>
      <w:b/>
      <w:bCs/>
      <w:sz w:val="20"/>
      <w:szCs w:val="20"/>
      <w:lang w:val="de-DE" w:eastAsia="lv-LV"/>
    </w:rPr>
  </w:style>
  <w:style w:type="character" w:customStyle="1" w:styleId="apple-converted-space">
    <w:name w:val="apple-converted-space"/>
    <w:basedOn w:val="DefaultParagraphFont"/>
    <w:rsid w:val="00E01744"/>
  </w:style>
  <w:style w:type="numbering" w:customStyle="1" w:styleId="Bezsaraksta1">
    <w:name w:val="Bez saraksta1"/>
    <w:next w:val="NoList"/>
    <w:uiPriority w:val="99"/>
    <w:semiHidden/>
    <w:unhideWhenUsed/>
    <w:rsid w:val="004445CD"/>
  </w:style>
  <w:style w:type="table" w:styleId="TableGrid">
    <w:name w:val="Table Grid"/>
    <w:basedOn w:val="TableNormal"/>
    <w:uiPriority w:val="99"/>
    <w:rsid w:val="004445CD"/>
    <w:pPr>
      <w:spacing w:after="0" w:line="240" w:lineRule="auto"/>
    </w:pPr>
    <w:rPr>
      <w:rFonts w:ascii="Calibri" w:eastAsia="Calibri" w:hAnsi="Calibri" w:cs="Calibri"/>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4445CD"/>
    <w:pPr>
      <w:tabs>
        <w:tab w:val="center" w:pos="4153"/>
        <w:tab w:val="right" w:pos="8306"/>
      </w:tabs>
    </w:pPr>
    <w:rPr>
      <w:sz w:val="20"/>
      <w:lang w:val="lv-LV" w:eastAsia="en-US"/>
    </w:rPr>
  </w:style>
  <w:style w:type="character" w:customStyle="1" w:styleId="HeaderChar">
    <w:name w:val="Header Char"/>
    <w:basedOn w:val="DefaultParagraphFont"/>
    <w:link w:val="Header"/>
    <w:uiPriority w:val="99"/>
    <w:semiHidden/>
    <w:rsid w:val="004445CD"/>
    <w:rPr>
      <w:rFonts w:ascii="Times New Roman" w:eastAsia="Times New Roman" w:hAnsi="Times New Roman" w:cs="Times New Roman"/>
      <w:sz w:val="20"/>
      <w:szCs w:val="20"/>
    </w:rPr>
  </w:style>
  <w:style w:type="paragraph" w:styleId="Footer">
    <w:name w:val="footer"/>
    <w:basedOn w:val="Normal"/>
    <w:link w:val="FooterChar"/>
    <w:uiPriority w:val="99"/>
    <w:rsid w:val="004445CD"/>
    <w:pPr>
      <w:tabs>
        <w:tab w:val="center" w:pos="4153"/>
        <w:tab w:val="right" w:pos="8306"/>
      </w:tabs>
    </w:pPr>
    <w:rPr>
      <w:sz w:val="20"/>
      <w:lang w:val="lv-LV" w:eastAsia="en-US"/>
    </w:rPr>
  </w:style>
  <w:style w:type="character" w:customStyle="1" w:styleId="FooterChar">
    <w:name w:val="Footer Char"/>
    <w:basedOn w:val="DefaultParagraphFont"/>
    <w:link w:val="Footer"/>
    <w:uiPriority w:val="99"/>
    <w:rsid w:val="004445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doc.php?id=19209"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365D-5F00-4986-8BBB-C6469A9F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1497</Words>
  <Characters>8535</Characters>
  <Application>Microsoft Office Word</Application>
  <DocSecurity>0</DocSecurity>
  <Lines>71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Normunds</dc:creator>
  <cp:lastModifiedBy>Anda.Andzane</cp:lastModifiedBy>
  <cp:revision>9</cp:revision>
  <cp:lastPrinted>2016-04-20T11:20:00Z</cp:lastPrinted>
  <dcterms:created xsi:type="dcterms:W3CDTF">2016-04-21T08:41:00Z</dcterms:created>
  <dcterms:modified xsi:type="dcterms:W3CDTF">2016-04-25T12:11:00Z</dcterms:modified>
</cp:coreProperties>
</file>