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44" w:rsidRPr="00A51644" w:rsidRDefault="00A51644" w:rsidP="00A51644">
      <w:pPr>
        <w:jc w:val="right"/>
        <w:rPr>
          <w:rFonts w:eastAsia="Times New Roman"/>
        </w:rPr>
      </w:pPr>
    </w:p>
    <w:p w:rsidR="00A51644" w:rsidRPr="00A51644" w:rsidRDefault="00A51644" w:rsidP="00A51644">
      <w:pPr>
        <w:jc w:val="center"/>
        <w:rPr>
          <w:rFonts w:eastAsia="Times New Roman"/>
          <w:b/>
          <w:sz w:val="24"/>
          <w:szCs w:val="24"/>
        </w:rPr>
      </w:pPr>
      <w:r w:rsidRPr="00A51644">
        <w:rPr>
          <w:rFonts w:eastAsia="Times New Roman"/>
          <w:b/>
          <w:sz w:val="24"/>
          <w:szCs w:val="24"/>
        </w:rPr>
        <w:t>L Ē M U M S</w:t>
      </w:r>
    </w:p>
    <w:p w:rsidR="00A51644" w:rsidRPr="00A51644" w:rsidRDefault="00A51644" w:rsidP="00A51644">
      <w:pPr>
        <w:jc w:val="center"/>
        <w:rPr>
          <w:rFonts w:eastAsia="Times New Roman"/>
          <w:sz w:val="24"/>
          <w:szCs w:val="24"/>
        </w:rPr>
      </w:pPr>
      <w:r w:rsidRPr="00A51644">
        <w:rPr>
          <w:rFonts w:eastAsia="Times New Roman"/>
          <w:sz w:val="24"/>
          <w:szCs w:val="24"/>
        </w:rPr>
        <w:t>Tukumā</w:t>
      </w:r>
    </w:p>
    <w:p w:rsidR="00A51644" w:rsidRPr="00A51644" w:rsidRDefault="00A51644" w:rsidP="00A51644">
      <w:pPr>
        <w:jc w:val="both"/>
        <w:rPr>
          <w:rFonts w:eastAsia="Times New Roman"/>
          <w:sz w:val="24"/>
          <w:szCs w:val="24"/>
        </w:rPr>
      </w:pPr>
      <w:r w:rsidRPr="00A51644">
        <w:rPr>
          <w:rFonts w:eastAsia="Times New Roman"/>
          <w:sz w:val="24"/>
          <w:szCs w:val="24"/>
        </w:rPr>
        <w:t>2016.gada 28.janvārī</w:t>
      </w:r>
      <w:r w:rsidRPr="00A51644">
        <w:rPr>
          <w:rFonts w:eastAsia="Times New Roman"/>
          <w:sz w:val="24"/>
          <w:szCs w:val="24"/>
        </w:rPr>
        <w:tab/>
      </w:r>
      <w:r w:rsidRPr="00A51644">
        <w:rPr>
          <w:rFonts w:eastAsia="Times New Roman"/>
          <w:sz w:val="24"/>
          <w:szCs w:val="24"/>
        </w:rPr>
        <w:tab/>
      </w:r>
      <w:r w:rsidRPr="00A51644">
        <w:rPr>
          <w:rFonts w:eastAsia="Times New Roman"/>
          <w:sz w:val="24"/>
          <w:szCs w:val="24"/>
        </w:rPr>
        <w:tab/>
      </w:r>
      <w:r w:rsidRPr="00A51644">
        <w:rPr>
          <w:rFonts w:eastAsia="Times New Roman"/>
          <w:sz w:val="24"/>
          <w:szCs w:val="24"/>
        </w:rPr>
        <w:tab/>
      </w:r>
      <w:r w:rsidRPr="00A51644">
        <w:rPr>
          <w:rFonts w:eastAsia="Times New Roman"/>
          <w:sz w:val="24"/>
          <w:szCs w:val="24"/>
        </w:rPr>
        <w:tab/>
      </w:r>
      <w:r w:rsidRPr="00A51644">
        <w:rPr>
          <w:rFonts w:eastAsia="Times New Roman"/>
          <w:sz w:val="24"/>
          <w:szCs w:val="24"/>
        </w:rPr>
        <w:tab/>
      </w:r>
      <w:r w:rsidRPr="00A51644">
        <w:rPr>
          <w:rFonts w:eastAsia="Times New Roman"/>
          <w:sz w:val="24"/>
          <w:szCs w:val="24"/>
        </w:rPr>
        <w:tab/>
      </w:r>
      <w:r w:rsidRPr="00A51644">
        <w:rPr>
          <w:rFonts w:eastAsia="Times New Roman"/>
          <w:sz w:val="24"/>
          <w:szCs w:val="24"/>
        </w:rPr>
        <w:tab/>
      </w:r>
      <w:proofErr w:type="gramStart"/>
      <w:r w:rsidRPr="00A51644">
        <w:rPr>
          <w:rFonts w:eastAsia="Times New Roman"/>
          <w:sz w:val="24"/>
          <w:szCs w:val="24"/>
        </w:rPr>
        <w:t xml:space="preserve">       </w:t>
      </w:r>
      <w:proofErr w:type="gramEnd"/>
      <w:r w:rsidRPr="00A51644">
        <w:rPr>
          <w:rFonts w:eastAsia="Times New Roman"/>
          <w:sz w:val="24"/>
          <w:szCs w:val="24"/>
        </w:rPr>
        <w:t>prot.Nr.2, 24.§.</w:t>
      </w:r>
    </w:p>
    <w:p w:rsidR="00A51644" w:rsidRPr="00A51644" w:rsidRDefault="00A51644" w:rsidP="00A51644">
      <w:pPr>
        <w:spacing w:after="200" w:line="276" w:lineRule="auto"/>
        <w:jc w:val="right"/>
        <w:rPr>
          <w:rFonts w:eastAsia="Times New Roman"/>
          <w:b/>
          <w:sz w:val="24"/>
          <w:szCs w:val="24"/>
        </w:rPr>
      </w:pPr>
    </w:p>
    <w:p w:rsidR="00A51644" w:rsidRPr="00A51644" w:rsidRDefault="00A51644" w:rsidP="00A51644">
      <w:pPr>
        <w:rPr>
          <w:rFonts w:eastAsia="Times New Roman"/>
          <w:b/>
          <w:sz w:val="24"/>
          <w:szCs w:val="24"/>
        </w:rPr>
      </w:pPr>
      <w:r w:rsidRPr="00A51644">
        <w:rPr>
          <w:rFonts w:eastAsia="Times New Roman"/>
          <w:b/>
          <w:sz w:val="24"/>
          <w:szCs w:val="24"/>
        </w:rPr>
        <w:t>Par Tukuma novada pašvaldības vienam</w:t>
      </w:r>
    </w:p>
    <w:p w:rsidR="00A51644" w:rsidRPr="00A51644" w:rsidRDefault="00A51644" w:rsidP="00A51644">
      <w:pPr>
        <w:rPr>
          <w:rFonts w:eastAsia="Times New Roman"/>
          <w:b/>
          <w:sz w:val="24"/>
          <w:szCs w:val="24"/>
        </w:rPr>
      </w:pPr>
      <w:r w:rsidRPr="00A51644">
        <w:rPr>
          <w:rFonts w:eastAsia="Times New Roman"/>
          <w:b/>
          <w:sz w:val="24"/>
          <w:szCs w:val="24"/>
        </w:rPr>
        <w:t>izglītojamam nepieciešamajām vidējām</w:t>
      </w:r>
    </w:p>
    <w:p w:rsidR="00A51644" w:rsidRPr="00A51644" w:rsidRDefault="00A51644" w:rsidP="00A51644">
      <w:pPr>
        <w:rPr>
          <w:rFonts w:eastAsia="Times New Roman"/>
          <w:b/>
          <w:sz w:val="24"/>
          <w:szCs w:val="24"/>
        </w:rPr>
      </w:pPr>
      <w:r w:rsidRPr="00A51644">
        <w:rPr>
          <w:rFonts w:eastAsia="Times New Roman"/>
          <w:b/>
          <w:sz w:val="24"/>
          <w:szCs w:val="24"/>
        </w:rPr>
        <w:t xml:space="preserve">izmaksām izglītības iestādēs noteikšanu </w:t>
      </w:r>
    </w:p>
    <w:p w:rsidR="00A51644" w:rsidRPr="00A51644" w:rsidRDefault="00A51644" w:rsidP="00A51644">
      <w:pPr>
        <w:spacing w:line="276" w:lineRule="auto"/>
        <w:jc w:val="both"/>
        <w:rPr>
          <w:i/>
          <w:sz w:val="24"/>
          <w:szCs w:val="24"/>
          <w:lang w:eastAsia="en-US"/>
        </w:rPr>
      </w:pPr>
    </w:p>
    <w:p w:rsidR="00A51644" w:rsidRPr="00A51644" w:rsidRDefault="00A51644" w:rsidP="00A51644">
      <w:pPr>
        <w:ind w:firstLine="720"/>
        <w:jc w:val="both"/>
        <w:rPr>
          <w:rFonts w:eastAsia="Times New Roman"/>
          <w:sz w:val="24"/>
          <w:szCs w:val="24"/>
        </w:rPr>
      </w:pPr>
    </w:p>
    <w:p w:rsidR="00A51644" w:rsidRPr="00A51644" w:rsidRDefault="00A51644" w:rsidP="00A51644">
      <w:pPr>
        <w:ind w:firstLine="720"/>
        <w:jc w:val="both"/>
        <w:rPr>
          <w:sz w:val="24"/>
          <w:szCs w:val="24"/>
        </w:rPr>
      </w:pPr>
      <w:r w:rsidRPr="00A51644">
        <w:rPr>
          <w:rFonts w:eastAsia="Times New Roman"/>
          <w:sz w:val="24"/>
          <w:szCs w:val="24"/>
        </w:rPr>
        <w:t>1. Pamatojoties uz Ministru kabineta 2015.gada 8.decembra noteikumu Nr.709 „Noteikumi par izmaksu noteikšanas metodiku un kārtību, kādā pašvaldība atbilstoši tās noteiktajām vidējām izmaksām sedz pirmsskolas izglītības program</w:t>
      </w:r>
      <w:bookmarkStart w:id="0" w:name="_GoBack"/>
      <w:bookmarkEnd w:id="0"/>
      <w:r w:rsidRPr="00A51644">
        <w:rPr>
          <w:rFonts w:eastAsia="Times New Roman"/>
          <w:sz w:val="24"/>
          <w:szCs w:val="24"/>
        </w:rPr>
        <w:t>mas izmaksas privātai izglītības iestādei” 6.punktu “</w:t>
      </w:r>
      <w:r w:rsidRPr="00A51644">
        <w:rPr>
          <w:i/>
          <w:sz w:val="24"/>
          <w:szCs w:val="24"/>
        </w:rPr>
        <w:t xml:space="preserve">Pašvaldības atbalsts tiek aprēķināts, ņemot vērā pašvaldības pirmsskolas izglītības iestādes izmaksas budžeta gadā. Izmaksu aprēķinā atbilstoši ekonomiskās klasifikācijas kodiem iekļauj šādus pašvaldības izglītības iestāžu iepriekšējā gadā pēc naudas plūsmas uzskaitītos izdevumus un šajā punktā minētās aprēķinātās vērtības, kuras dalītas ar audzēkņu skaitu attiecīgajās pirmsskolas izglītības iestādēs...” </w:t>
      </w:r>
      <w:r w:rsidRPr="00A51644">
        <w:rPr>
          <w:sz w:val="24"/>
          <w:szCs w:val="24"/>
        </w:rPr>
        <w:t>ir veikts</w:t>
      </w:r>
      <w:r w:rsidRPr="00A51644">
        <w:rPr>
          <w:i/>
          <w:sz w:val="24"/>
          <w:szCs w:val="24"/>
        </w:rPr>
        <w:t xml:space="preserve"> </w:t>
      </w:r>
      <w:r w:rsidRPr="00A51644">
        <w:rPr>
          <w:sz w:val="24"/>
          <w:szCs w:val="24"/>
        </w:rPr>
        <w:t>aprēķins par vienam izglītojamam nepieciešamajām vidējām izmaksām Tukuma novada pašvaldībā (Tukuma novada pašvaldības atbalsta detalizēts atšifrējums pa izdevumu pozīcijām pievienots).</w:t>
      </w:r>
    </w:p>
    <w:p w:rsidR="00A51644" w:rsidRPr="00A51644" w:rsidRDefault="00A51644" w:rsidP="00A51644">
      <w:pPr>
        <w:ind w:firstLine="720"/>
        <w:jc w:val="both"/>
        <w:rPr>
          <w:rFonts w:eastAsia="Times New Roman"/>
          <w:sz w:val="24"/>
          <w:szCs w:val="24"/>
        </w:rPr>
      </w:pPr>
    </w:p>
    <w:p w:rsidR="00A51644" w:rsidRPr="00A51644" w:rsidRDefault="00A51644" w:rsidP="00A51644">
      <w:pPr>
        <w:ind w:firstLine="720"/>
        <w:jc w:val="both"/>
        <w:rPr>
          <w:rFonts w:eastAsia="Times New Roman"/>
          <w:sz w:val="24"/>
          <w:szCs w:val="24"/>
        </w:rPr>
      </w:pPr>
      <w:r w:rsidRPr="00A51644">
        <w:rPr>
          <w:rFonts w:eastAsia="Times New Roman"/>
          <w:sz w:val="24"/>
          <w:szCs w:val="24"/>
        </w:rPr>
        <w:t xml:space="preserve">2. Pamatojoties </w:t>
      </w:r>
      <w:proofErr w:type="gramStart"/>
      <w:r w:rsidRPr="00A51644">
        <w:rPr>
          <w:rFonts w:eastAsia="Times New Roman"/>
          <w:sz w:val="24"/>
          <w:szCs w:val="24"/>
        </w:rPr>
        <w:t>uz Izglītības likuma 17.panta otro divi</w:t>
      </w:r>
      <w:proofErr w:type="gramEnd"/>
      <w:r w:rsidRPr="00A51644">
        <w:rPr>
          <w:rFonts w:eastAsia="Times New Roman"/>
          <w:sz w:val="24"/>
          <w:szCs w:val="24"/>
        </w:rPr>
        <w:t xml:space="preserve"> </w:t>
      </w:r>
      <w:proofErr w:type="spellStart"/>
      <w:r w:rsidRPr="00A51644">
        <w:rPr>
          <w:rFonts w:eastAsia="Times New Roman"/>
          <w:sz w:val="24"/>
          <w:szCs w:val="24"/>
        </w:rPr>
        <w:t>prim</w:t>
      </w:r>
      <w:proofErr w:type="spellEnd"/>
      <w:r w:rsidRPr="00A51644">
        <w:rPr>
          <w:rFonts w:eastAsia="Times New Roman"/>
          <w:sz w:val="24"/>
          <w:szCs w:val="24"/>
        </w:rPr>
        <w:t xml:space="preserve"> daļu “</w:t>
      </w:r>
      <w:r w:rsidRPr="00A51644">
        <w:rPr>
          <w:i/>
          <w:sz w:val="24"/>
          <w:szCs w:val="24"/>
        </w:rPr>
        <w:t xml:space="preserve">Pašvaldība atbilstoši Ministru kabineta noteiktajai metodikai nosaka vienam izglītojamajam nepieciešamās vidējās izmaksas pirmsskolas izglītības programmā (no pusotra gada vecuma līdz pamatizglītības ieguves uzsākšanai) attiecīgās pašvaldības izglītības iestādēs. Minētās vidējās izmaksas un to aprēķināšanas kārtību pašvaldība publisko savā </w:t>
      </w:r>
      <w:proofErr w:type="spellStart"/>
      <w:r w:rsidRPr="00A51644">
        <w:rPr>
          <w:i/>
          <w:sz w:val="24"/>
          <w:szCs w:val="24"/>
        </w:rPr>
        <w:t>mājaslapā</w:t>
      </w:r>
      <w:proofErr w:type="spellEnd"/>
      <w:r w:rsidRPr="00A51644">
        <w:rPr>
          <w:i/>
          <w:sz w:val="24"/>
          <w:szCs w:val="24"/>
        </w:rPr>
        <w:t xml:space="preserve"> internetā”</w:t>
      </w:r>
      <w:r w:rsidRPr="00A51644">
        <w:rPr>
          <w:rFonts w:eastAsia="Times New Roman"/>
          <w:i/>
          <w:sz w:val="24"/>
          <w:szCs w:val="24"/>
        </w:rPr>
        <w:t xml:space="preserve"> </w:t>
      </w:r>
      <w:r w:rsidRPr="00A51644">
        <w:rPr>
          <w:rFonts w:eastAsia="Times New Roman"/>
          <w:sz w:val="24"/>
          <w:szCs w:val="24"/>
        </w:rPr>
        <w:t xml:space="preserve">noteikt, ka </w:t>
      </w:r>
      <w:r w:rsidRPr="00A51644">
        <w:rPr>
          <w:sz w:val="24"/>
          <w:szCs w:val="24"/>
        </w:rPr>
        <w:t>vienam izglītojamajam nepieciešamās vidējās izmaksas pirmsskolas izglītības programmā (no pusotra gada vecuma līdz pamatizglītības ieguves uzsākšanai)</w:t>
      </w:r>
      <w:r w:rsidRPr="00A51644">
        <w:rPr>
          <w:i/>
          <w:sz w:val="24"/>
          <w:szCs w:val="24"/>
        </w:rPr>
        <w:t xml:space="preserve"> </w:t>
      </w:r>
      <w:r w:rsidRPr="00A51644">
        <w:rPr>
          <w:rFonts w:eastAsia="Times New Roman"/>
          <w:sz w:val="24"/>
          <w:szCs w:val="24"/>
        </w:rPr>
        <w:t xml:space="preserve">Tukuma novada pašvaldībā 2016.gadā ir 175,25 </w:t>
      </w:r>
      <w:proofErr w:type="spellStart"/>
      <w:r w:rsidRPr="00A51644">
        <w:rPr>
          <w:rFonts w:eastAsia="Times New Roman"/>
          <w:i/>
          <w:sz w:val="24"/>
          <w:szCs w:val="24"/>
        </w:rPr>
        <w:t>euro</w:t>
      </w:r>
      <w:proofErr w:type="spellEnd"/>
      <w:r w:rsidRPr="00A51644">
        <w:rPr>
          <w:rFonts w:eastAsia="Times New Roman"/>
          <w:i/>
          <w:sz w:val="24"/>
          <w:szCs w:val="24"/>
        </w:rPr>
        <w:t xml:space="preserve"> </w:t>
      </w:r>
      <w:r w:rsidRPr="00A51644">
        <w:rPr>
          <w:rFonts w:eastAsia="Times New Roman"/>
          <w:sz w:val="24"/>
          <w:szCs w:val="24"/>
        </w:rPr>
        <w:t xml:space="preserve">(viens simts septiņdesmit pieci </w:t>
      </w:r>
      <w:proofErr w:type="spellStart"/>
      <w:r w:rsidRPr="00A51644">
        <w:rPr>
          <w:rFonts w:eastAsia="Times New Roman"/>
          <w:i/>
          <w:sz w:val="24"/>
          <w:szCs w:val="24"/>
        </w:rPr>
        <w:t>euro</w:t>
      </w:r>
      <w:proofErr w:type="spellEnd"/>
      <w:r w:rsidRPr="00A51644">
        <w:rPr>
          <w:rFonts w:eastAsia="Times New Roman"/>
          <w:sz w:val="24"/>
          <w:szCs w:val="24"/>
        </w:rPr>
        <w:t xml:space="preserve"> un 25 </w:t>
      </w:r>
      <w:r w:rsidRPr="00A51644">
        <w:rPr>
          <w:rFonts w:eastAsia="Times New Roman"/>
          <w:i/>
          <w:sz w:val="24"/>
          <w:szCs w:val="24"/>
        </w:rPr>
        <w:t>centi</w:t>
      </w:r>
      <w:r w:rsidRPr="00A51644">
        <w:rPr>
          <w:rFonts w:eastAsia="Times New Roman"/>
          <w:sz w:val="24"/>
          <w:szCs w:val="24"/>
        </w:rPr>
        <w:t>).</w:t>
      </w:r>
    </w:p>
    <w:p w:rsidR="00A51644" w:rsidRPr="00A51644" w:rsidRDefault="00A51644" w:rsidP="00A51644">
      <w:pPr>
        <w:ind w:firstLine="720"/>
        <w:jc w:val="both"/>
        <w:rPr>
          <w:rFonts w:eastAsia="Times New Roman"/>
          <w:sz w:val="24"/>
          <w:szCs w:val="24"/>
        </w:rPr>
      </w:pPr>
    </w:p>
    <w:p w:rsidR="00A51644" w:rsidRPr="00A51644" w:rsidRDefault="00A51644" w:rsidP="00A51644">
      <w:pPr>
        <w:ind w:right="-99" w:firstLine="720"/>
        <w:jc w:val="both"/>
        <w:rPr>
          <w:rFonts w:eastAsia="Times New Roman"/>
          <w:sz w:val="24"/>
          <w:szCs w:val="24"/>
        </w:rPr>
      </w:pPr>
    </w:p>
    <w:p w:rsidR="00A51644" w:rsidRPr="00A51644" w:rsidRDefault="00A51644" w:rsidP="00A51644">
      <w:pPr>
        <w:contextualSpacing/>
        <w:rPr>
          <w:rFonts w:eastAsia="Times New Roman"/>
          <w:sz w:val="24"/>
        </w:rPr>
      </w:pPr>
      <w:r w:rsidRPr="00A51644">
        <w:rPr>
          <w:rFonts w:eastAsia="Times New Roman"/>
          <w:sz w:val="24"/>
        </w:rPr>
        <w:t xml:space="preserve">Domes priekšsēdētājs </w:t>
      </w:r>
      <w:r w:rsidRPr="00A51644">
        <w:rPr>
          <w:rFonts w:eastAsia="Times New Roman"/>
          <w:sz w:val="24"/>
        </w:rPr>
        <w:tab/>
      </w:r>
      <w:r w:rsidRPr="00A51644">
        <w:rPr>
          <w:rFonts w:eastAsia="Times New Roman"/>
          <w:sz w:val="24"/>
        </w:rPr>
        <w:tab/>
        <w:t xml:space="preserve">(personiskais paraksts) </w:t>
      </w:r>
      <w:r w:rsidRPr="00A51644">
        <w:rPr>
          <w:rFonts w:eastAsia="Times New Roman"/>
          <w:sz w:val="24"/>
        </w:rPr>
        <w:tab/>
      </w:r>
      <w:r w:rsidRPr="00A51644">
        <w:rPr>
          <w:rFonts w:eastAsia="Times New Roman"/>
          <w:sz w:val="24"/>
        </w:rPr>
        <w:tab/>
      </w:r>
      <w:r w:rsidRPr="00A51644">
        <w:rPr>
          <w:rFonts w:eastAsia="Times New Roman"/>
          <w:sz w:val="24"/>
        </w:rPr>
        <w:tab/>
      </w:r>
      <w:proofErr w:type="spellStart"/>
      <w:r w:rsidRPr="00A51644">
        <w:rPr>
          <w:rFonts w:eastAsia="Times New Roman"/>
          <w:sz w:val="24"/>
        </w:rPr>
        <w:t>Ē.Lukmans</w:t>
      </w:r>
      <w:proofErr w:type="spellEnd"/>
    </w:p>
    <w:p w:rsidR="00A51644" w:rsidRPr="00A51644" w:rsidRDefault="00A51644" w:rsidP="00A51644">
      <w:pPr>
        <w:contextualSpacing/>
        <w:rPr>
          <w:rFonts w:eastAsia="Times New Roman"/>
          <w:sz w:val="24"/>
        </w:rPr>
      </w:pPr>
    </w:p>
    <w:p w:rsidR="00A51644" w:rsidRPr="00A51644" w:rsidRDefault="00A51644" w:rsidP="00A51644">
      <w:pPr>
        <w:jc w:val="both"/>
        <w:rPr>
          <w:rFonts w:eastAsia="Times New Roman"/>
          <w:sz w:val="22"/>
          <w:szCs w:val="24"/>
        </w:rPr>
      </w:pPr>
    </w:p>
    <w:p w:rsidR="00A51644" w:rsidRPr="00A51644" w:rsidRDefault="00A51644" w:rsidP="00A51644">
      <w:pPr>
        <w:rPr>
          <w:rFonts w:eastAsia="Times New Roman"/>
          <w:sz w:val="22"/>
          <w:szCs w:val="24"/>
        </w:rPr>
      </w:pPr>
      <w:r w:rsidRPr="00A51644">
        <w:rPr>
          <w:rFonts w:eastAsia="Times New Roman"/>
          <w:sz w:val="22"/>
          <w:szCs w:val="24"/>
        </w:rPr>
        <w:br w:type="page"/>
      </w:r>
    </w:p>
    <w:p w:rsidR="00A51644" w:rsidRPr="00A51644" w:rsidRDefault="00A51644" w:rsidP="00A51644">
      <w:pPr>
        <w:jc w:val="right"/>
        <w:rPr>
          <w:rFonts w:eastAsia="Times New Roman"/>
          <w:color w:val="FF0000"/>
        </w:rPr>
      </w:pPr>
    </w:p>
    <w:p w:rsidR="00A51644" w:rsidRPr="00A51644" w:rsidRDefault="00A51644" w:rsidP="00A51644">
      <w:pPr>
        <w:ind w:left="6237"/>
        <w:jc w:val="both"/>
        <w:rPr>
          <w:rFonts w:eastAsia="Times New Roman"/>
          <w:noProof/>
          <w:sz w:val="16"/>
          <w:szCs w:val="24"/>
        </w:rPr>
      </w:pPr>
      <w:r w:rsidRPr="00A51644">
        <w:rPr>
          <w:rFonts w:eastAsia="Times New Roman"/>
          <w:sz w:val="22"/>
          <w:szCs w:val="24"/>
        </w:rPr>
        <w:t>P</w:t>
      </w:r>
      <w:r w:rsidRPr="00A51644">
        <w:rPr>
          <w:rFonts w:eastAsia="Times New Roman"/>
          <w:szCs w:val="24"/>
        </w:rPr>
        <w:t>ielikums</w:t>
      </w:r>
    </w:p>
    <w:p w:rsidR="00A51644" w:rsidRPr="00A51644" w:rsidRDefault="00A51644" w:rsidP="00A51644">
      <w:pPr>
        <w:ind w:left="6237"/>
        <w:jc w:val="both"/>
        <w:rPr>
          <w:rFonts w:eastAsia="Times New Roman"/>
          <w:szCs w:val="24"/>
        </w:rPr>
      </w:pPr>
      <w:r w:rsidRPr="00A51644">
        <w:rPr>
          <w:rFonts w:eastAsia="Times New Roman"/>
          <w:szCs w:val="24"/>
        </w:rPr>
        <w:t>Tukuma novada Domes 28.01.2016.</w:t>
      </w:r>
    </w:p>
    <w:p w:rsidR="00A51644" w:rsidRPr="00A51644" w:rsidRDefault="00A51644" w:rsidP="00A51644">
      <w:pPr>
        <w:ind w:left="6237"/>
        <w:jc w:val="both"/>
        <w:rPr>
          <w:rFonts w:eastAsia="Times New Roman"/>
          <w:sz w:val="22"/>
          <w:szCs w:val="24"/>
        </w:rPr>
      </w:pPr>
      <w:r w:rsidRPr="00A51644">
        <w:rPr>
          <w:rFonts w:eastAsia="Times New Roman"/>
          <w:szCs w:val="24"/>
        </w:rPr>
        <w:t>lēmumam (prot. Nr.2, 24.§.)</w:t>
      </w:r>
    </w:p>
    <w:p w:rsidR="00A51644" w:rsidRPr="00A51644" w:rsidRDefault="00A51644" w:rsidP="00A51644">
      <w:pPr>
        <w:jc w:val="center"/>
        <w:rPr>
          <w:rFonts w:eastAsia="Times New Roman"/>
          <w:b/>
          <w:sz w:val="24"/>
          <w:szCs w:val="24"/>
        </w:rPr>
      </w:pPr>
    </w:p>
    <w:p w:rsidR="00A51644" w:rsidRPr="00A51644" w:rsidRDefault="00A51644" w:rsidP="00A51644">
      <w:pPr>
        <w:jc w:val="center"/>
        <w:rPr>
          <w:rFonts w:eastAsia="Times New Roman"/>
          <w:b/>
          <w:sz w:val="24"/>
          <w:szCs w:val="24"/>
        </w:rPr>
      </w:pPr>
      <w:r w:rsidRPr="00A51644">
        <w:rPr>
          <w:rFonts w:eastAsia="Times New Roman"/>
          <w:b/>
          <w:sz w:val="24"/>
          <w:szCs w:val="24"/>
        </w:rPr>
        <w:t>Tukuma novada pašvaldības atbalsta detalizēts atšifrējums</w:t>
      </w:r>
    </w:p>
    <w:p w:rsidR="00A51644" w:rsidRPr="00A51644" w:rsidRDefault="00A51644" w:rsidP="00A51644">
      <w:pPr>
        <w:jc w:val="center"/>
        <w:rPr>
          <w:rFonts w:eastAsia="Times New Roman"/>
          <w:b/>
          <w:sz w:val="24"/>
          <w:szCs w:val="24"/>
        </w:rPr>
      </w:pPr>
      <w:r w:rsidRPr="00A51644">
        <w:rPr>
          <w:rFonts w:eastAsia="Times New Roman"/>
          <w:b/>
          <w:sz w:val="24"/>
          <w:szCs w:val="24"/>
        </w:rPr>
        <w:t>pa izdevumu pozīcijām 2016.gadā</w:t>
      </w:r>
    </w:p>
    <w:p w:rsidR="00A51644" w:rsidRPr="00A51644" w:rsidRDefault="00A51644" w:rsidP="00A51644">
      <w:pPr>
        <w:jc w:val="center"/>
        <w:rPr>
          <w:rFonts w:eastAsia="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09"/>
        <w:gridCol w:w="5103"/>
        <w:gridCol w:w="992"/>
        <w:gridCol w:w="1418"/>
      </w:tblGrid>
      <w:tr w:rsidR="00A51644" w:rsidRPr="00A51644" w:rsidTr="0038776F">
        <w:trPr>
          <w:trHeight w:val="874"/>
        </w:trPr>
        <w:tc>
          <w:tcPr>
            <w:tcW w:w="1843" w:type="dxa"/>
          </w:tcPr>
          <w:p w:rsidR="00A51644" w:rsidRPr="00A51644" w:rsidRDefault="00A51644" w:rsidP="00A51644">
            <w:pPr>
              <w:widowControl w:val="0"/>
              <w:spacing w:line="276" w:lineRule="auto"/>
              <w:jc w:val="center"/>
              <w:rPr>
                <w:b/>
                <w:sz w:val="22"/>
                <w:szCs w:val="22"/>
                <w:lang w:eastAsia="en-US"/>
              </w:rPr>
            </w:pPr>
            <w:r w:rsidRPr="00A51644">
              <w:rPr>
                <w:b/>
                <w:sz w:val="22"/>
                <w:szCs w:val="22"/>
                <w:lang w:eastAsia="en-US"/>
              </w:rPr>
              <w:t>Nosaukums</w:t>
            </w:r>
          </w:p>
        </w:tc>
        <w:tc>
          <w:tcPr>
            <w:tcW w:w="709" w:type="dxa"/>
          </w:tcPr>
          <w:p w:rsidR="00A51644" w:rsidRPr="00A51644" w:rsidRDefault="00A51644" w:rsidP="00A51644">
            <w:pPr>
              <w:widowControl w:val="0"/>
              <w:spacing w:line="276" w:lineRule="auto"/>
              <w:jc w:val="center"/>
              <w:rPr>
                <w:b/>
                <w:sz w:val="22"/>
                <w:szCs w:val="22"/>
                <w:lang w:eastAsia="en-US"/>
              </w:rPr>
            </w:pPr>
            <w:r w:rsidRPr="00A51644">
              <w:rPr>
                <w:b/>
                <w:sz w:val="22"/>
                <w:szCs w:val="22"/>
                <w:lang w:eastAsia="en-US"/>
              </w:rPr>
              <w:t>Nr.</w:t>
            </w:r>
          </w:p>
        </w:tc>
        <w:tc>
          <w:tcPr>
            <w:tcW w:w="5103" w:type="dxa"/>
          </w:tcPr>
          <w:p w:rsidR="00A51644" w:rsidRPr="00A51644" w:rsidRDefault="00A51644" w:rsidP="00A51644">
            <w:pPr>
              <w:widowControl w:val="0"/>
              <w:spacing w:line="276" w:lineRule="auto"/>
              <w:jc w:val="center"/>
              <w:rPr>
                <w:b/>
                <w:sz w:val="22"/>
                <w:szCs w:val="22"/>
                <w:lang w:eastAsia="en-US"/>
              </w:rPr>
            </w:pPr>
            <w:r w:rsidRPr="00A51644">
              <w:rPr>
                <w:b/>
                <w:sz w:val="22"/>
                <w:szCs w:val="22"/>
                <w:lang w:eastAsia="en-US"/>
              </w:rPr>
              <w:t>Pakalpojums</w:t>
            </w:r>
          </w:p>
        </w:tc>
        <w:tc>
          <w:tcPr>
            <w:tcW w:w="992" w:type="dxa"/>
          </w:tcPr>
          <w:p w:rsidR="00A51644" w:rsidRPr="00A51644" w:rsidRDefault="00A51644" w:rsidP="00A51644">
            <w:pPr>
              <w:widowControl w:val="0"/>
              <w:spacing w:line="276" w:lineRule="auto"/>
              <w:jc w:val="center"/>
              <w:rPr>
                <w:b/>
                <w:sz w:val="22"/>
                <w:szCs w:val="22"/>
                <w:lang w:eastAsia="en-US"/>
              </w:rPr>
            </w:pPr>
            <w:r w:rsidRPr="00A51644">
              <w:rPr>
                <w:b/>
                <w:sz w:val="22"/>
                <w:szCs w:val="22"/>
                <w:lang w:eastAsia="en-US"/>
              </w:rPr>
              <w:t>EKK kods</w:t>
            </w:r>
          </w:p>
        </w:tc>
        <w:tc>
          <w:tcPr>
            <w:tcW w:w="1418" w:type="dxa"/>
          </w:tcPr>
          <w:p w:rsidR="00A51644" w:rsidRPr="00A51644" w:rsidRDefault="00A51644" w:rsidP="00A51644">
            <w:pPr>
              <w:widowControl w:val="0"/>
              <w:spacing w:line="276" w:lineRule="auto"/>
              <w:ind w:left="-108" w:right="-108" w:hanging="108"/>
              <w:jc w:val="center"/>
              <w:rPr>
                <w:b/>
                <w:sz w:val="22"/>
                <w:szCs w:val="22"/>
                <w:lang w:eastAsia="en-US"/>
              </w:rPr>
            </w:pPr>
            <w:r w:rsidRPr="00A51644">
              <w:rPr>
                <w:b/>
                <w:sz w:val="22"/>
                <w:szCs w:val="22"/>
                <w:lang w:eastAsia="en-US"/>
              </w:rPr>
              <w:t xml:space="preserve"> Izmaksas uz 1 audzēkni mēnesī (</w:t>
            </w:r>
            <w:proofErr w:type="spellStart"/>
            <w:r w:rsidRPr="00A51644">
              <w:rPr>
                <w:b/>
                <w:i/>
                <w:sz w:val="22"/>
                <w:szCs w:val="22"/>
                <w:lang w:eastAsia="en-US"/>
              </w:rPr>
              <w:t>euro</w:t>
            </w:r>
            <w:proofErr w:type="spellEnd"/>
            <w:r w:rsidRPr="00A51644">
              <w:rPr>
                <w:b/>
                <w:sz w:val="22"/>
                <w:szCs w:val="22"/>
                <w:lang w:eastAsia="en-US"/>
              </w:rPr>
              <w:t>)</w:t>
            </w:r>
          </w:p>
        </w:tc>
      </w:tr>
      <w:tr w:rsidR="00A51644" w:rsidRPr="00A51644" w:rsidTr="0038776F">
        <w:trPr>
          <w:trHeight w:val="621"/>
        </w:trPr>
        <w:tc>
          <w:tcPr>
            <w:tcW w:w="1843" w:type="dxa"/>
          </w:tcPr>
          <w:p w:rsidR="00A51644" w:rsidRPr="00A51644" w:rsidRDefault="00A51644" w:rsidP="00A51644">
            <w:pPr>
              <w:widowControl w:val="0"/>
              <w:spacing w:line="276" w:lineRule="auto"/>
              <w:rPr>
                <w:b/>
                <w:bCs/>
                <w:sz w:val="22"/>
                <w:szCs w:val="22"/>
                <w:lang w:eastAsia="en-US"/>
              </w:rPr>
            </w:pPr>
            <w:r w:rsidRPr="00A51644">
              <w:rPr>
                <w:b/>
                <w:bCs/>
                <w:sz w:val="22"/>
                <w:szCs w:val="22"/>
                <w:lang w:eastAsia="en-US"/>
              </w:rPr>
              <w:t>1. Atalgojums</w:t>
            </w:r>
          </w:p>
        </w:tc>
        <w:tc>
          <w:tcPr>
            <w:tcW w:w="709" w:type="dxa"/>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1.1.</w:t>
            </w:r>
          </w:p>
        </w:tc>
        <w:tc>
          <w:tcPr>
            <w:tcW w:w="5103" w:type="dxa"/>
          </w:tcPr>
          <w:p w:rsidR="00A51644" w:rsidRPr="00A51644" w:rsidRDefault="00A51644" w:rsidP="00A51644">
            <w:pPr>
              <w:widowControl w:val="0"/>
              <w:spacing w:line="276" w:lineRule="auto"/>
              <w:rPr>
                <w:b/>
                <w:bCs/>
                <w:sz w:val="22"/>
                <w:szCs w:val="22"/>
                <w:lang w:eastAsia="en-US"/>
              </w:rPr>
            </w:pPr>
            <w:r w:rsidRPr="00A51644">
              <w:rPr>
                <w:sz w:val="22"/>
                <w:szCs w:val="22"/>
                <w:lang w:eastAsia="en-US"/>
              </w:rPr>
              <w:t>Atalgojumi (izņemot pedagogu atalgojumu, kuru piešķir kā mērķdotāciju no valsts budžeta)</w:t>
            </w:r>
          </w:p>
        </w:tc>
        <w:tc>
          <w:tcPr>
            <w:tcW w:w="992"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1100</w:t>
            </w:r>
          </w:p>
        </w:tc>
        <w:tc>
          <w:tcPr>
            <w:tcW w:w="1418"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91,89</w:t>
            </w:r>
          </w:p>
        </w:tc>
      </w:tr>
      <w:tr w:rsidR="00A51644" w:rsidRPr="00A51644" w:rsidTr="0038776F">
        <w:trPr>
          <w:trHeight w:val="633"/>
        </w:trPr>
        <w:tc>
          <w:tcPr>
            <w:tcW w:w="1843" w:type="dxa"/>
          </w:tcPr>
          <w:p w:rsidR="00A51644" w:rsidRPr="00A51644" w:rsidRDefault="00A51644" w:rsidP="00A51644">
            <w:pPr>
              <w:widowControl w:val="0"/>
              <w:spacing w:line="276" w:lineRule="auto"/>
              <w:rPr>
                <w:b/>
                <w:bCs/>
                <w:sz w:val="22"/>
                <w:szCs w:val="22"/>
                <w:lang w:eastAsia="en-US"/>
              </w:rPr>
            </w:pPr>
            <w:r w:rsidRPr="00A51644">
              <w:rPr>
                <w:b/>
                <w:bCs/>
                <w:sz w:val="22"/>
                <w:szCs w:val="22"/>
                <w:lang w:eastAsia="en-US"/>
              </w:rPr>
              <w:t>2. Darba devēja VSAOI</w:t>
            </w: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2.1.</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Darba devēja valsts sociālās apdrošināšanas obligātās iemaksas, pabalsti un kompensācijas (izņemot valsts sociālās apdrošināšanas obligātās iemaksas, kuras piešķir kā mērķdotāciju no valsts budžeta)</w:t>
            </w:r>
          </w:p>
        </w:tc>
        <w:tc>
          <w:tcPr>
            <w:tcW w:w="992"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1200</w:t>
            </w:r>
          </w:p>
        </w:tc>
        <w:tc>
          <w:tcPr>
            <w:tcW w:w="1418"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23,58</w:t>
            </w:r>
          </w:p>
        </w:tc>
      </w:tr>
      <w:tr w:rsidR="00A51644" w:rsidRPr="00A51644" w:rsidTr="0038776F">
        <w:trPr>
          <w:trHeight w:val="966"/>
        </w:trPr>
        <w:tc>
          <w:tcPr>
            <w:tcW w:w="1843" w:type="dxa"/>
          </w:tcPr>
          <w:p w:rsidR="00A51644" w:rsidRPr="00A51644" w:rsidRDefault="00A51644" w:rsidP="00A51644">
            <w:pPr>
              <w:widowControl w:val="0"/>
              <w:spacing w:line="276" w:lineRule="auto"/>
              <w:rPr>
                <w:b/>
                <w:bCs/>
                <w:sz w:val="22"/>
                <w:szCs w:val="22"/>
                <w:lang w:eastAsia="en-US"/>
              </w:rPr>
            </w:pPr>
            <w:r w:rsidRPr="00A51644">
              <w:rPr>
                <w:b/>
                <w:bCs/>
                <w:sz w:val="22"/>
                <w:szCs w:val="22"/>
                <w:lang w:eastAsia="en-US"/>
              </w:rPr>
              <w:t>3. Komandējumi un darba braucieni</w:t>
            </w: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3.1.</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Mācību, darba un dienesta komandējumi, dienesta, darba braucieni (izņemot tos, kas finansēti no Eiropas Savienības fondiem)</w:t>
            </w:r>
          </w:p>
        </w:tc>
        <w:tc>
          <w:tcPr>
            <w:tcW w:w="992"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2100</w:t>
            </w:r>
          </w:p>
        </w:tc>
        <w:tc>
          <w:tcPr>
            <w:tcW w:w="1418" w:type="dxa"/>
            <w:noWrap/>
          </w:tcPr>
          <w:p w:rsidR="00A51644" w:rsidRPr="00A51644" w:rsidRDefault="00A51644" w:rsidP="00A51644">
            <w:pPr>
              <w:widowControl w:val="0"/>
              <w:spacing w:line="276" w:lineRule="auto"/>
              <w:jc w:val="center"/>
              <w:rPr>
                <w:b/>
                <w:sz w:val="22"/>
                <w:szCs w:val="22"/>
                <w:lang w:eastAsia="en-US"/>
              </w:rPr>
            </w:pPr>
            <w:r w:rsidRPr="00A51644">
              <w:rPr>
                <w:b/>
                <w:sz w:val="22"/>
                <w:szCs w:val="22"/>
                <w:lang w:eastAsia="en-US"/>
              </w:rPr>
              <w:t>0,02</w:t>
            </w:r>
          </w:p>
        </w:tc>
      </w:tr>
      <w:tr w:rsidR="00A51644" w:rsidRPr="00A51644" w:rsidTr="0038776F">
        <w:trPr>
          <w:trHeight w:val="525"/>
        </w:trPr>
        <w:tc>
          <w:tcPr>
            <w:tcW w:w="7655" w:type="dxa"/>
            <w:gridSpan w:val="3"/>
          </w:tcPr>
          <w:p w:rsidR="00A51644" w:rsidRPr="00A51644" w:rsidRDefault="00A51644" w:rsidP="00A51644">
            <w:pPr>
              <w:widowControl w:val="0"/>
              <w:spacing w:line="276" w:lineRule="auto"/>
              <w:rPr>
                <w:sz w:val="22"/>
                <w:szCs w:val="22"/>
                <w:lang w:eastAsia="en-US"/>
              </w:rPr>
            </w:pPr>
            <w:r w:rsidRPr="00A51644">
              <w:rPr>
                <w:b/>
                <w:bCs/>
                <w:sz w:val="22"/>
                <w:szCs w:val="22"/>
                <w:lang w:eastAsia="en-US"/>
              </w:rPr>
              <w:t>4. Pakalpojumu samaksa</w:t>
            </w:r>
          </w:p>
        </w:tc>
        <w:tc>
          <w:tcPr>
            <w:tcW w:w="992"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2200</w:t>
            </w:r>
          </w:p>
        </w:tc>
        <w:tc>
          <w:tcPr>
            <w:tcW w:w="1418"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44,84</w:t>
            </w:r>
          </w:p>
        </w:tc>
      </w:tr>
      <w:tr w:rsidR="00A51644" w:rsidRPr="00A51644" w:rsidTr="0038776F">
        <w:trPr>
          <w:trHeight w:val="229"/>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4.1.</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Pasta, telefona un citi sakaru pakalpojumi</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2210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0,40</w:t>
            </w:r>
          </w:p>
        </w:tc>
      </w:tr>
      <w:tr w:rsidR="00A51644" w:rsidRPr="00A51644" w:rsidTr="0038776F">
        <w:trPr>
          <w:trHeight w:val="421"/>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4.2.</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Izdevumi par komunālajiem pakalpojumiem</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2220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12,18</w:t>
            </w:r>
          </w:p>
        </w:tc>
      </w:tr>
      <w:tr w:rsidR="00A51644" w:rsidRPr="00A51644" w:rsidTr="0038776F">
        <w:trPr>
          <w:trHeight w:val="626"/>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4.3.</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Iestādes administratīvie izdevumi un ar iestādes darbības nodrošināšanu saistītie izdevumi</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2230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1,24</w:t>
            </w:r>
          </w:p>
        </w:tc>
      </w:tr>
      <w:tr w:rsidR="00A51644" w:rsidRPr="00A51644" w:rsidTr="0038776F">
        <w:trPr>
          <w:trHeight w:val="526"/>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4.4.</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Remontdarbi un iestāžu uzturēšanas pakalpojumi (izņemot ēku, būvju un ceļu kapitālo remontu)</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2240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23,72</w:t>
            </w:r>
          </w:p>
        </w:tc>
      </w:tr>
      <w:tr w:rsidR="00A51644" w:rsidRPr="00A51644" w:rsidTr="0038776F">
        <w:trPr>
          <w:trHeight w:val="351"/>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4.5.</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Informācijas tehnoloģiju pakalpojumi</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2250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0,31</w:t>
            </w:r>
          </w:p>
        </w:tc>
      </w:tr>
      <w:tr w:rsidR="00A51644" w:rsidRPr="00A51644" w:rsidTr="0038776F">
        <w:trPr>
          <w:trHeight w:val="257"/>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4.6.</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Īres un nomas maksa</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2260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6,99</w:t>
            </w:r>
          </w:p>
        </w:tc>
      </w:tr>
      <w:tr w:rsidR="00A51644" w:rsidRPr="00A51644" w:rsidTr="0038776F">
        <w:trPr>
          <w:trHeight w:val="852"/>
        </w:trPr>
        <w:tc>
          <w:tcPr>
            <w:tcW w:w="7655" w:type="dxa"/>
            <w:gridSpan w:val="3"/>
          </w:tcPr>
          <w:p w:rsidR="00A51644" w:rsidRPr="00A51644" w:rsidRDefault="00A51644" w:rsidP="00A51644">
            <w:pPr>
              <w:widowControl w:val="0"/>
              <w:spacing w:line="276" w:lineRule="auto"/>
              <w:rPr>
                <w:sz w:val="22"/>
                <w:szCs w:val="22"/>
                <w:lang w:eastAsia="en-US"/>
              </w:rPr>
            </w:pPr>
            <w:r w:rsidRPr="00A51644">
              <w:rPr>
                <w:b/>
                <w:bCs/>
                <w:sz w:val="22"/>
                <w:szCs w:val="22"/>
                <w:lang w:eastAsia="en-US"/>
              </w:rPr>
              <w:t>5. Krājumi, materiāli, energoresursi, preces, biroja preces un inventārs, kurus neuzskaita pamatkapitāla veidošanā</w:t>
            </w:r>
          </w:p>
        </w:tc>
        <w:tc>
          <w:tcPr>
            <w:tcW w:w="992"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2300</w:t>
            </w:r>
          </w:p>
        </w:tc>
        <w:tc>
          <w:tcPr>
            <w:tcW w:w="1418"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7,17</w:t>
            </w:r>
          </w:p>
        </w:tc>
      </w:tr>
      <w:tr w:rsidR="00A51644" w:rsidRPr="00A51644" w:rsidTr="0038776F">
        <w:trPr>
          <w:trHeight w:val="649"/>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5.1.</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Izdevumi par precēm iestādes darbības nodrošināšanai</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2310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3,06</w:t>
            </w:r>
          </w:p>
        </w:tc>
      </w:tr>
      <w:tr w:rsidR="00A51644" w:rsidRPr="00A51644" w:rsidTr="0038776F">
        <w:trPr>
          <w:trHeight w:val="295"/>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5.2.</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Kurināmais un enerģētiskie materiāli</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2320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0,97</w:t>
            </w:r>
          </w:p>
        </w:tc>
      </w:tr>
      <w:tr w:rsidR="00A51644" w:rsidRPr="00A51644" w:rsidTr="0038776F">
        <w:trPr>
          <w:trHeight w:val="330"/>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5.3.</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Zāles, ķimikālijas, laboratorijas preces, medicīniskās ierīces, medicīniskie instrumenti, laboratorijas dzīvnieki un to uzturēšana</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2340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0,06</w:t>
            </w:r>
          </w:p>
        </w:tc>
      </w:tr>
      <w:tr w:rsidR="00A51644" w:rsidRPr="00A51644" w:rsidTr="0038776F">
        <w:trPr>
          <w:trHeight w:val="274"/>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5.4.</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Kārtējā remonta un iestāžu uzturēšanas materiāli</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2350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1,88</w:t>
            </w:r>
          </w:p>
        </w:tc>
      </w:tr>
      <w:tr w:rsidR="00A51644" w:rsidRPr="00A51644" w:rsidTr="0038776F">
        <w:trPr>
          <w:trHeight w:val="831"/>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5.5.</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Valsts un pašvaldību aprūpē un apgādē esošo personu uzturēšanas izdevumi (izņemot ēdināšanas izdevumus (EKK 2363))</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2360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0,37</w:t>
            </w:r>
          </w:p>
        </w:tc>
      </w:tr>
      <w:tr w:rsidR="00A51644" w:rsidRPr="00A51644" w:rsidTr="0038776F">
        <w:trPr>
          <w:trHeight w:val="518"/>
        </w:trPr>
        <w:tc>
          <w:tcPr>
            <w:tcW w:w="1843" w:type="dxa"/>
            <w:noWrap/>
          </w:tcPr>
          <w:p w:rsidR="00A51644" w:rsidRPr="00A51644" w:rsidRDefault="00A51644" w:rsidP="00A51644">
            <w:pPr>
              <w:widowControl w:val="0"/>
              <w:spacing w:line="276" w:lineRule="auto"/>
              <w:rPr>
                <w:sz w:val="22"/>
                <w:szCs w:val="22"/>
                <w:lang w:eastAsia="en-US"/>
              </w:rPr>
            </w:pP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5.6.</w:t>
            </w:r>
          </w:p>
        </w:tc>
        <w:tc>
          <w:tcPr>
            <w:tcW w:w="5103" w:type="dxa"/>
          </w:tcPr>
          <w:p w:rsidR="00A51644" w:rsidRPr="00A51644" w:rsidRDefault="00A51644" w:rsidP="00A51644">
            <w:pPr>
              <w:widowControl w:val="0"/>
              <w:spacing w:line="276" w:lineRule="auto"/>
              <w:rPr>
                <w:sz w:val="22"/>
                <w:szCs w:val="22"/>
                <w:lang w:eastAsia="en-US"/>
              </w:rPr>
            </w:pPr>
            <w:r w:rsidRPr="00A51644">
              <w:rPr>
                <w:sz w:val="22"/>
                <w:szCs w:val="22"/>
                <w:lang w:eastAsia="en-US"/>
              </w:rPr>
              <w:t>Mācību līdzekļi un materiāli (izņemot valsts budžeta dotācijas mācību līdzekļu iegādei)</w:t>
            </w:r>
          </w:p>
        </w:tc>
        <w:tc>
          <w:tcPr>
            <w:tcW w:w="992"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2370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0,83</w:t>
            </w:r>
          </w:p>
        </w:tc>
      </w:tr>
      <w:tr w:rsidR="00A51644" w:rsidRPr="00A51644" w:rsidTr="0038776F">
        <w:trPr>
          <w:trHeight w:val="625"/>
        </w:trPr>
        <w:tc>
          <w:tcPr>
            <w:tcW w:w="1843" w:type="dxa"/>
          </w:tcPr>
          <w:p w:rsidR="00A51644" w:rsidRPr="00A51644" w:rsidRDefault="00A51644" w:rsidP="00A51644">
            <w:pPr>
              <w:widowControl w:val="0"/>
              <w:spacing w:line="276" w:lineRule="auto"/>
              <w:rPr>
                <w:b/>
                <w:bCs/>
                <w:sz w:val="22"/>
                <w:szCs w:val="22"/>
                <w:lang w:eastAsia="en-US"/>
              </w:rPr>
            </w:pPr>
            <w:r w:rsidRPr="00A51644">
              <w:rPr>
                <w:b/>
                <w:bCs/>
                <w:sz w:val="22"/>
                <w:szCs w:val="22"/>
                <w:lang w:eastAsia="en-US"/>
              </w:rPr>
              <w:lastRenderedPageBreak/>
              <w:t>6. Izdevumi periodikas iegādei</w:t>
            </w:r>
          </w:p>
        </w:tc>
        <w:tc>
          <w:tcPr>
            <w:tcW w:w="709"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6.1.</w:t>
            </w:r>
          </w:p>
        </w:tc>
        <w:tc>
          <w:tcPr>
            <w:tcW w:w="5103" w:type="dxa"/>
            <w:noWrap/>
          </w:tcPr>
          <w:p w:rsidR="00A51644" w:rsidRPr="00A51644" w:rsidRDefault="00A51644" w:rsidP="00A51644">
            <w:pPr>
              <w:widowControl w:val="0"/>
              <w:spacing w:line="276" w:lineRule="auto"/>
              <w:rPr>
                <w:sz w:val="22"/>
                <w:szCs w:val="22"/>
                <w:lang w:eastAsia="en-US"/>
              </w:rPr>
            </w:pPr>
            <w:r w:rsidRPr="00A51644">
              <w:rPr>
                <w:sz w:val="22"/>
                <w:szCs w:val="22"/>
                <w:lang w:eastAsia="en-US"/>
              </w:rPr>
              <w:t>Izdevumi periodikas iegādei</w:t>
            </w:r>
          </w:p>
        </w:tc>
        <w:tc>
          <w:tcPr>
            <w:tcW w:w="992"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2400</w:t>
            </w:r>
          </w:p>
        </w:tc>
        <w:tc>
          <w:tcPr>
            <w:tcW w:w="1418" w:type="dxa"/>
            <w:noWrap/>
          </w:tcPr>
          <w:p w:rsidR="00A51644" w:rsidRPr="00A51644" w:rsidRDefault="00A51644" w:rsidP="00A51644">
            <w:pPr>
              <w:widowControl w:val="0"/>
              <w:spacing w:line="276" w:lineRule="auto"/>
              <w:jc w:val="center"/>
              <w:rPr>
                <w:sz w:val="22"/>
                <w:szCs w:val="22"/>
                <w:lang w:eastAsia="en-US"/>
              </w:rPr>
            </w:pPr>
            <w:r w:rsidRPr="00A51644">
              <w:rPr>
                <w:sz w:val="22"/>
                <w:szCs w:val="22"/>
                <w:lang w:eastAsia="en-US"/>
              </w:rPr>
              <w:t>0</w:t>
            </w:r>
          </w:p>
        </w:tc>
      </w:tr>
      <w:tr w:rsidR="00A51644" w:rsidRPr="00A51644" w:rsidTr="0038776F">
        <w:trPr>
          <w:trHeight w:val="1399"/>
        </w:trPr>
        <w:tc>
          <w:tcPr>
            <w:tcW w:w="1843" w:type="dxa"/>
            <w:noWrap/>
          </w:tcPr>
          <w:p w:rsidR="00A51644" w:rsidRPr="00A51644" w:rsidRDefault="00A51644" w:rsidP="00A51644">
            <w:pPr>
              <w:widowControl w:val="0"/>
              <w:spacing w:line="276" w:lineRule="auto"/>
              <w:rPr>
                <w:b/>
                <w:bCs/>
                <w:sz w:val="22"/>
                <w:szCs w:val="22"/>
                <w:lang w:eastAsia="en-US"/>
              </w:rPr>
            </w:pPr>
            <w:r w:rsidRPr="00A51644">
              <w:rPr>
                <w:b/>
                <w:bCs/>
                <w:sz w:val="22"/>
                <w:szCs w:val="22"/>
                <w:lang w:eastAsia="en-US"/>
              </w:rPr>
              <w:t>7. Pamatlīdzekļu nolietojums</w:t>
            </w:r>
          </w:p>
        </w:tc>
        <w:tc>
          <w:tcPr>
            <w:tcW w:w="709" w:type="dxa"/>
            <w:noWrap/>
          </w:tcPr>
          <w:p w:rsidR="00A51644" w:rsidRPr="00A51644" w:rsidRDefault="00A51644" w:rsidP="00A51644">
            <w:pPr>
              <w:widowControl w:val="0"/>
              <w:spacing w:line="276" w:lineRule="auto"/>
              <w:jc w:val="center"/>
              <w:rPr>
                <w:bCs/>
                <w:sz w:val="22"/>
                <w:szCs w:val="22"/>
                <w:lang w:eastAsia="en-US"/>
              </w:rPr>
            </w:pPr>
            <w:r w:rsidRPr="00A51644">
              <w:rPr>
                <w:bCs/>
                <w:sz w:val="22"/>
                <w:szCs w:val="22"/>
                <w:lang w:eastAsia="en-US"/>
              </w:rPr>
              <w:t>7.1</w:t>
            </w:r>
          </w:p>
        </w:tc>
        <w:tc>
          <w:tcPr>
            <w:tcW w:w="5103" w:type="dxa"/>
            <w:noWrap/>
          </w:tcPr>
          <w:p w:rsidR="00A51644" w:rsidRPr="00A51644" w:rsidRDefault="00A51644" w:rsidP="00A51644">
            <w:pPr>
              <w:widowControl w:val="0"/>
              <w:spacing w:line="276" w:lineRule="auto"/>
              <w:rPr>
                <w:b/>
                <w:bCs/>
                <w:sz w:val="22"/>
                <w:szCs w:val="22"/>
                <w:lang w:eastAsia="en-US"/>
              </w:rPr>
            </w:pPr>
            <w:r w:rsidRPr="00A51644">
              <w:rPr>
                <w:sz w:val="22"/>
                <w:szCs w:val="22"/>
                <w:shd w:val="clear" w:color="auto" w:fill="FFFFFF"/>
                <w:lang w:eastAsia="en-US"/>
              </w:rPr>
              <w:t>Pašvaldības izglītības iestāžu kopējais pamatlīdzekļu nolietojumus, ko aprēķina, ievērojot pašvaldībām noteikto ilgtermiņa ieguldījumu uzskaites kārtību, un ko dala ar audzēkņu skaitu attiecīgajās izglītības iestādēs</w:t>
            </w:r>
          </w:p>
        </w:tc>
        <w:tc>
          <w:tcPr>
            <w:tcW w:w="992" w:type="dxa"/>
            <w:noWrap/>
          </w:tcPr>
          <w:p w:rsidR="00A51644" w:rsidRPr="00A51644" w:rsidRDefault="00A51644" w:rsidP="00A51644">
            <w:pPr>
              <w:widowControl w:val="0"/>
              <w:spacing w:line="276" w:lineRule="auto"/>
              <w:jc w:val="center"/>
              <w:rPr>
                <w:b/>
                <w:bCs/>
                <w:sz w:val="22"/>
                <w:szCs w:val="22"/>
                <w:lang w:eastAsia="en-US"/>
              </w:rPr>
            </w:pPr>
          </w:p>
        </w:tc>
        <w:tc>
          <w:tcPr>
            <w:tcW w:w="1418"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7,75</w:t>
            </w:r>
          </w:p>
          <w:p w:rsidR="00A51644" w:rsidRPr="00A51644" w:rsidRDefault="00A51644" w:rsidP="00A51644">
            <w:pPr>
              <w:widowControl w:val="0"/>
              <w:spacing w:line="276" w:lineRule="auto"/>
              <w:jc w:val="center"/>
              <w:rPr>
                <w:b/>
                <w:bCs/>
                <w:sz w:val="22"/>
                <w:szCs w:val="22"/>
                <w:lang w:eastAsia="en-US"/>
              </w:rPr>
            </w:pPr>
          </w:p>
        </w:tc>
      </w:tr>
      <w:tr w:rsidR="00A51644" w:rsidRPr="00A51644" w:rsidTr="0038776F">
        <w:trPr>
          <w:trHeight w:val="314"/>
        </w:trPr>
        <w:tc>
          <w:tcPr>
            <w:tcW w:w="7655" w:type="dxa"/>
            <w:gridSpan w:val="3"/>
            <w:noWrap/>
          </w:tcPr>
          <w:p w:rsidR="00A51644" w:rsidRPr="00A51644" w:rsidRDefault="00A51644" w:rsidP="00A51644">
            <w:pPr>
              <w:widowControl w:val="0"/>
              <w:spacing w:line="276" w:lineRule="auto"/>
              <w:jc w:val="right"/>
              <w:rPr>
                <w:b/>
                <w:bCs/>
                <w:sz w:val="22"/>
                <w:szCs w:val="22"/>
                <w:lang w:eastAsia="en-US"/>
              </w:rPr>
            </w:pPr>
            <w:r w:rsidRPr="00A51644">
              <w:rPr>
                <w:b/>
                <w:bCs/>
                <w:sz w:val="22"/>
                <w:szCs w:val="22"/>
                <w:lang w:eastAsia="en-US"/>
              </w:rPr>
              <w:t>Kopā</w:t>
            </w:r>
          </w:p>
        </w:tc>
        <w:tc>
          <w:tcPr>
            <w:tcW w:w="992" w:type="dxa"/>
            <w:noWrap/>
          </w:tcPr>
          <w:p w:rsidR="00A51644" w:rsidRPr="00A51644" w:rsidRDefault="00A51644" w:rsidP="00A51644">
            <w:pPr>
              <w:widowControl w:val="0"/>
              <w:spacing w:line="276" w:lineRule="auto"/>
              <w:jc w:val="center"/>
              <w:rPr>
                <w:b/>
                <w:bCs/>
                <w:sz w:val="22"/>
                <w:szCs w:val="22"/>
                <w:lang w:eastAsia="en-US"/>
              </w:rPr>
            </w:pPr>
          </w:p>
        </w:tc>
        <w:tc>
          <w:tcPr>
            <w:tcW w:w="1418" w:type="dxa"/>
            <w:noWrap/>
          </w:tcPr>
          <w:p w:rsidR="00A51644" w:rsidRPr="00A51644" w:rsidRDefault="00A51644" w:rsidP="00A51644">
            <w:pPr>
              <w:widowControl w:val="0"/>
              <w:spacing w:line="276" w:lineRule="auto"/>
              <w:jc w:val="center"/>
              <w:rPr>
                <w:b/>
                <w:bCs/>
                <w:sz w:val="22"/>
                <w:szCs w:val="22"/>
                <w:lang w:eastAsia="en-US"/>
              </w:rPr>
            </w:pPr>
            <w:r w:rsidRPr="00A51644">
              <w:rPr>
                <w:b/>
                <w:bCs/>
                <w:sz w:val="22"/>
                <w:szCs w:val="22"/>
                <w:lang w:eastAsia="en-US"/>
              </w:rPr>
              <w:t>175,25</w:t>
            </w:r>
          </w:p>
        </w:tc>
      </w:tr>
    </w:tbl>
    <w:p w:rsidR="00A51644" w:rsidRPr="00A51644" w:rsidRDefault="00A51644" w:rsidP="00A51644">
      <w:pPr>
        <w:rPr>
          <w:rFonts w:eastAsia="Times New Roman"/>
          <w:b/>
          <w:sz w:val="24"/>
          <w:szCs w:val="24"/>
        </w:rPr>
      </w:pPr>
    </w:p>
    <w:p w:rsidR="00A51644" w:rsidRPr="00A51644" w:rsidRDefault="00A51644" w:rsidP="00A51644">
      <w:pPr>
        <w:spacing w:after="200" w:line="276" w:lineRule="auto"/>
        <w:rPr>
          <w:rFonts w:eastAsia="Times New Roman"/>
          <w:sz w:val="24"/>
          <w:szCs w:val="24"/>
        </w:rPr>
      </w:pPr>
    </w:p>
    <w:p w:rsidR="00A51644" w:rsidRPr="00A51644" w:rsidRDefault="00A51644" w:rsidP="00A51644">
      <w:pPr>
        <w:spacing w:after="200" w:line="276" w:lineRule="auto"/>
        <w:rPr>
          <w:rFonts w:eastAsia="Times New Roman"/>
          <w:sz w:val="24"/>
          <w:szCs w:val="24"/>
        </w:rPr>
      </w:pPr>
    </w:p>
    <w:p w:rsidR="00A51644" w:rsidRPr="00A51644" w:rsidRDefault="00A51644" w:rsidP="00A51644">
      <w:pPr>
        <w:contextualSpacing/>
        <w:rPr>
          <w:rFonts w:eastAsia="Times New Roman"/>
          <w:sz w:val="24"/>
        </w:rPr>
      </w:pPr>
      <w:r w:rsidRPr="00A51644">
        <w:rPr>
          <w:rFonts w:eastAsia="Times New Roman"/>
          <w:sz w:val="24"/>
        </w:rPr>
        <w:t xml:space="preserve">Domes priekšsēdētājs </w:t>
      </w:r>
      <w:r w:rsidRPr="00A51644">
        <w:rPr>
          <w:rFonts w:eastAsia="Times New Roman"/>
          <w:sz w:val="24"/>
        </w:rPr>
        <w:tab/>
      </w:r>
      <w:r w:rsidRPr="00A51644">
        <w:rPr>
          <w:rFonts w:eastAsia="Times New Roman"/>
          <w:sz w:val="24"/>
        </w:rPr>
        <w:tab/>
        <w:t xml:space="preserve">(personiskais paraksts) </w:t>
      </w:r>
      <w:r w:rsidRPr="00A51644">
        <w:rPr>
          <w:rFonts w:eastAsia="Times New Roman"/>
          <w:sz w:val="24"/>
        </w:rPr>
        <w:tab/>
      </w:r>
      <w:r w:rsidRPr="00A51644">
        <w:rPr>
          <w:rFonts w:eastAsia="Times New Roman"/>
          <w:sz w:val="24"/>
        </w:rPr>
        <w:tab/>
      </w:r>
      <w:r w:rsidRPr="00A51644">
        <w:rPr>
          <w:rFonts w:eastAsia="Times New Roman"/>
          <w:sz w:val="24"/>
        </w:rPr>
        <w:tab/>
      </w:r>
      <w:proofErr w:type="spellStart"/>
      <w:r w:rsidRPr="00A51644">
        <w:rPr>
          <w:rFonts w:eastAsia="Times New Roman"/>
          <w:sz w:val="24"/>
        </w:rPr>
        <w:t>Ē.Lukmans</w:t>
      </w:r>
      <w:proofErr w:type="spellEnd"/>
    </w:p>
    <w:p w:rsidR="00A51644" w:rsidRPr="00A51644" w:rsidRDefault="00A51644" w:rsidP="00A51644">
      <w:pPr>
        <w:contextualSpacing/>
        <w:rPr>
          <w:rFonts w:eastAsia="Times New Roman"/>
          <w:sz w:val="24"/>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A51644" w:rsidRPr="00A51644" w:rsidRDefault="00A51644" w:rsidP="00A51644">
      <w:pPr>
        <w:jc w:val="right"/>
        <w:rPr>
          <w:rFonts w:eastAsia="Times New Roman"/>
        </w:rPr>
      </w:pPr>
    </w:p>
    <w:p w:rsidR="00C7602E" w:rsidRDefault="00C7602E"/>
    <w:sectPr w:rsidR="00C7602E" w:rsidSect="00A51644">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44"/>
    <w:rsid w:val="009D3F1B"/>
    <w:rsid w:val="00A51644"/>
    <w:rsid w:val="00C76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Pr>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Pr>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2688</Words>
  <Characters>1533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cp:revision>
  <dcterms:created xsi:type="dcterms:W3CDTF">2016-03-08T13:22:00Z</dcterms:created>
  <dcterms:modified xsi:type="dcterms:W3CDTF">2016-03-08T13:35:00Z</dcterms:modified>
</cp:coreProperties>
</file>