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E9" w:rsidRDefault="00B403E9" w:rsidP="00B403E9">
      <w:pPr>
        <w:rPr>
          <w:rFonts w:ascii="Times New Roman" w:hAnsi="Times New Roman" w:cs="Times New Roman"/>
          <w:b/>
          <w:sz w:val="28"/>
          <w:szCs w:val="28"/>
        </w:rPr>
      </w:pPr>
    </w:p>
    <w:p w:rsidR="00B403E9" w:rsidRPr="00CB6737" w:rsidRDefault="00B403E9" w:rsidP="00B403E9">
      <w:pPr>
        <w:jc w:val="center"/>
        <w:rPr>
          <w:rFonts w:ascii="Times New Roman" w:hAnsi="Times New Roman" w:cs="Times New Roman"/>
          <w:b/>
          <w:sz w:val="28"/>
          <w:szCs w:val="28"/>
        </w:rPr>
      </w:pPr>
      <w:r w:rsidRPr="00CB6737">
        <w:rPr>
          <w:rFonts w:ascii="Times New Roman" w:hAnsi="Times New Roman" w:cs="Times New Roman"/>
          <w:b/>
          <w:sz w:val="28"/>
          <w:szCs w:val="28"/>
        </w:rPr>
        <w:t xml:space="preserve">Apstiprināts Tukuma novada pašvaldības </w:t>
      </w:r>
      <w:proofErr w:type="gramStart"/>
      <w:r w:rsidRPr="00CB6737">
        <w:rPr>
          <w:rFonts w:ascii="Times New Roman" w:hAnsi="Times New Roman" w:cs="Times New Roman"/>
          <w:b/>
          <w:sz w:val="28"/>
          <w:szCs w:val="28"/>
        </w:rPr>
        <w:t>2016.gada</w:t>
      </w:r>
      <w:proofErr w:type="gramEnd"/>
      <w:r w:rsidRPr="00CB6737">
        <w:rPr>
          <w:rFonts w:ascii="Times New Roman" w:hAnsi="Times New Roman" w:cs="Times New Roman"/>
          <w:b/>
          <w:sz w:val="28"/>
          <w:szCs w:val="28"/>
        </w:rPr>
        <w:t xml:space="preserve"> budžets</w:t>
      </w:r>
    </w:p>
    <w:p w:rsidR="00B403E9" w:rsidRDefault="00B403E9" w:rsidP="00B403E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Šā gada </w:t>
      </w:r>
      <w:proofErr w:type="gramStart"/>
      <w:r>
        <w:rPr>
          <w:rFonts w:ascii="Times New Roman" w:hAnsi="Times New Roman" w:cs="Times New Roman"/>
          <w:sz w:val="24"/>
          <w:szCs w:val="24"/>
        </w:rPr>
        <w:t>28.janvāra</w:t>
      </w:r>
      <w:proofErr w:type="gramEnd"/>
      <w:r>
        <w:rPr>
          <w:rFonts w:ascii="Times New Roman" w:hAnsi="Times New Roman" w:cs="Times New Roman"/>
          <w:sz w:val="24"/>
          <w:szCs w:val="24"/>
        </w:rPr>
        <w:t xml:space="preserve"> Tukuma novada Domes sēdē deputāti apstiprināja 2016.gada pašvaldības pamatbudžetu un speciālo budžetu.</w:t>
      </w:r>
      <w:r w:rsidRPr="00AD4E80">
        <w:rPr>
          <w:rFonts w:ascii="Times New Roman" w:hAnsi="Times New Roman" w:cs="Times New Roman"/>
          <w:sz w:val="24"/>
          <w:szCs w:val="24"/>
        </w:rPr>
        <w:t xml:space="preserve"> </w:t>
      </w:r>
      <w:r w:rsidRPr="009B21DE">
        <w:rPr>
          <w:rFonts w:ascii="Times New Roman" w:hAnsi="Times New Roman" w:cs="Times New Roman"/>
          <w:sz w:val="24"/>
          <w:szCs w:val="24"/>
        </w:rPr>
        <w:t>Tas ir dokuments, kurš atspoguļo pašvaldības politiku un prioritātes skaitliskā izteiksmē.</w:t>
      </w:r>
      <w:r>
        <w:rPr>
          <w:rFonts w:ascii="Times New Roman" w:hAnsi="Times New Roman" w:cs="Times New Roman"/>
          <w:sz w:val="24"/>
          <w:szCs w:val="24"/>
        </w:rPr>
        <w:t xml:space="preserve"> Tukuma novada </w:t>
      </w:r>
      <w:r w:rsidRPr="009B21DE">
        <w:rPr>
          <w:rFonts w:ascii="Times New Roman" w:hAnsi="Times New Roman" w:cs="Times New Roman"/>
          <w:sz w:val="24"/>
          <w:szCs w:val="24"/>
        </w:rPr>
        <w:t xml:space="preserve">pašvaldības </w:t>
      </w:r>
      <w:proofErr w:type="gramStart"/>
      <w:r>
        <w:rPr>
          <w:rFonts w:ascii="Times New Roman" w:hAnsi="Times New Roman" w:cs="Times New Roman"/>
          <w:sz w:val="24"/>
          <w:szCs w:val="24"/>
        </w:rPr>
        <w:t>2016</w:t>
      </w:r>
      <w:r w:rsidRPr="009B21DE">
        <w:rPr>
          <w:rFonts w:ascii="Times New Roman" w:hAnsi="Times New Roman" w:cs="Times New Roman"/>
          <w:sz w:val="24"/>
          <w:szCs w:val="24"/>
        </w:rPr>
        <w:t>.gada</w:t>
      </w:r>
      <w:proofErr w:type="gramEnd"/>
      <w:r w:rsidRPr="009B21DE">
        <w:rPr>
          <w:rFonts w:ascii="Times New Roman" w:hAnsi="Times New Roman" w:cs="Times New Roman"/>
          <w:sz w:val="24"/>
          <w:szCs w:val="24"/>
        </w:rPr>
        <w:t xml:space="preserve"> budžeta ieņēmumu noteikšanas pamatprincipi paredz piesardzīgu vērtējumu par ekonomiskās situācijas attīstību.</w:t>
      </w:r>
    </w:p>
    <w:p w:rsidR="00B403E9" w:rsidRDefault="00B403E9" w:rsidP="00B403E9">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2016</w:t>
      </w:r>
      <w:r w:rsidRPr="00F81F92">
        <w:rPr>
          <w:rFonts w:ascii="Times New Roman" w:hAnsi="Times New Roman" w:cs="Times New Roman"/>
          <w:sz w:val="24"/>
          <w:szCs w:val="24"/>
        </w:rPr>
        <w:t>.gadā</w:t>
      </w:r>
      <w:proofErr w:type="gramEnd"/>
      <w:r w:rsidRPr="00F81F92">
        <w:rPr>
          <w:rFonts w:ascii="Times New Roman" w:hAnsi="Times New Roman" w:cs="Times New Roman"/>
          <w:sz w:val="24"/>
          <w:szCs w:val="24"/>
        </w:rPr>
        <w:t xml:space="preserve"> novada infrastruktūras un ekonomiskā attīstība ir plānota, īstenojot Eiropas Savienības finansētos projektus, kā arī nosakot budžetā finansējumu mērķmaksājumiem un not</w:t>
      </w:r>
      <w:r>
        <w:rPr>
          <w:rFonts w:ascii="Times New Roman" w:hAnsi="Times New Roman" w:cs="Times New Roman"/>
          <w:sz w:val="24"/>
          <w:szCs w:val="24"/>
        </w:rPr>
        <w:t>eiktu objektu rekonstrukcijai,</w:t>
      </w:r>
      <w:r w:rsidRPr="00F81F92">
        <w:rPr>
          <w:rFonts w:ascii="Times New Roman" w:hAnsi="Times New Roman" w:cs="Times New Roman"/>
          <w:sz w:val="24"/>
          <w:szCs w:val="24"/>
        </w:rPr>
        <w:t xml:space="preserve"> būvniecībai ar budžeta un aizņēmuma līdzekļiem.</w:t>
      </w:r>
      <w:r>
        <w:rPr>
          <w:rFonts w:ascii="Times New Roman" w:hAnsi="Times New Roman" w:cs="Times New Roman"/>
          <w:sz w:val="24"/>
          <w:szCs w:val="24"/>
        </w:rPr>
        <w:t xml:space="preserve"> </w:t>
      </w:r>
    </w:p>
    <w:p w:rsidR="00B403E9" w:rsidRDefault="00B403E9" w:rsidP="00B403E9">
      <w:pPr>
        <w:spacing w:after="0"/>
        <w:ind w:firstLine="720"/>
        <w:jc w:val="both"/>
        <w:rPr>
          <w:rFonts w:ascii="Times New Roman" w:hAnsi="Times New Roman" w:cs="Times New Roman"/>
          <w:sz w:val="24"/>
          <w:szCs w:val="24"/>
        </w:rPr>
      </w:pPr>
      <w:r w:rsidRPr="009B21DE">
        <w:rPr>
          <w:rFonts w:ascii="Times New Roman" w:hAnsi="Times New Roman" w:cs="Times New Roman"/>
          <w:sz w:val="24"/>
          <w:szCs w:val="24"/>
        </w:rPr>
        <w:tab/>
      </w:r>
    </w:p>
    <w:p w:rsidR="00B403E9" w:rsidRPr="009B21DE" w:rsidRDefault="00B403E9" w:rsidP="00B403E9">
      <w:pPr>
        <w:spacing w:after="0"/>
        <w:jc w:val="both"/>
        <w:rPr>
          <w:rFonts w:ascii="Times New Roman" w:hAnsi="Times New Roman" w:cs="Times New Roman"/>
          <w:b/>
          <w:sz w:val="24"/>
          <w:szCs w:val="24"/>
        </w:rPr>
      </w:pPr>
      <w:r w:rsidRPr="009B21DE">
        <w:rPr>
          <w:rFonts w:ascii="Times New Roman" w:hAnsi="Times New Roman" w:cs="Times New Roman"/>
          <w:b/>
          <w:sz w:val="24"/>
          <w:szCs w:val="24"/>
        </w:rPr>
        <w:t>Tukuma novada pašvaldības pamatbudžets</w:t>
      </w:r>
    </w:p>
    <w:p w:rsidR="00B403E9" w:rsidRPr="009B21DE" w:rsidRDefault="00B403E9" w:rsidP="00B403E9">
      <w:pPr>
        <w:spacing w:after="0"/>
        <w:jc w:val="both"/>
        <w:rPr>
          <w:rFonts w:ascii="Times New Roman" w:hAnsi="Times New Roman" w:cs="Times New Roman"/>
          <w:b/>
          <w:sz w:val="24"/>
          <w:szCs w:val="24"/>
        </w:rPr>
      </w:pPr>
      <w:proofErr w:type="gramStart"/>
      <w:r w:rsidRPr="009B21DE">
        <w:rPr>
          <w:rFonts w:ascii="Times New Roman" w:hAnsi="Times New Roman" w:cs="Times New Roman"/>
          <w:b/>
          <w:sz w:val="24"/>
          <w:szCs w:val="24"/>
        </w:rPr>
        <w:t>1.Ieņēmumi</w:t>
      </w:r>
      <w:proofErr w:type="gramEnd"/>
    </w:p>
    <w:p w:rsidR="00B403E9" w:rsidRPr="009B21DE" w:rsidRDefault="00B403E9" w:rsidP="00B403E9">
      <w:pPr>
        <w:spacing w:after="0"/>
        <w:jc w:val="both"/>
        <w:rPr>
          <w:rFonts w:ascii="Times New Roman" w:hAnsi="Times New Roman" w:cs="Times New Roman"/>
          <w:sz w:val="24"/>
          <w:szCs w:val="24"/>
        </w:rPr>
      </w:pPr>
      <w:r w:rsidRPr="009B21DE">
        <w:rPr>
          <w:rFonts w:ascii="Times New Roman" w:hAnsi="Times New Roman" w:cs="Times New Roman"/>
          <w:sz w:val="24"/>
          <w:szCs w:val="24"/>
        </w:rPr>
        <w:tab/>
        <w:t xml:space="preserve">Tukuma novada </w:t>
      </w:r>
      <w:r>
        <w:rPr>
          <w:rFonts w:ascii="Times New Roman" w:hAnsi="Times New Roman" w:cs="Times New Roman"/>
          <w:sz w:val="24"/>
          <w:szCs w:val="24"/>
        </w:rPr>
        <w:t xml:space="preserve">pašvaldības </w:t>
      </w:r>
      <w:proofErr w:type="gramStart"/>
      <w:r>
        <w:rPr>
          <w:rFonts w:ascii="Times New Roman" w:hAnsi="Times New Roman" w:cs="Times New Roman"/>
          <w:sz w:val="24"/>
          <w:szCs w:val="24"/>
        </w:rPr>
        <w:t>2016</w:t>
      </w:r>
      <w:r w:rsidRPr="009B21DE">
        <w:rPr>
          <w:rFonts w:ascii="Times New Roman" w:hAnsi="Times New Roman" w:cs="Times New Roman"/>
          <w:sz w:val="24"/>
          <w:szCs w:val="24"/>
        </w:rPr>
        <w:t>.gada</w:t>
      </w:r>
      <w:proofErr w:type="gramEnd"/>
      <w:r w:rsidRPr="009B21DE">
        <w:rPr>
          <w:rFonts w:ascii="Times New Roman" w:hAnsi="Times New Roman" w:cs="Times New Roman"/>
          <w:sz w:val="24"/>
          <w:szCs w:val="24"/>
        </w:rPr>
        <w:t xml:space="preserve"> ieņēm</w:t>
      </w:r>
      <w:r>
        <w:rPr>
          <w:rFonts w:ascii="Times New Roman" w:hAnsi="Times New Roman" w:cs="Times New Roman"/>
          <w:sz w:val="24"/>
          <w:szCs w:val="24"/>
        </w:rPr>
        <w:t>um</w:t>
      </w:r>
      <w:r w:rsidRPr="009B21DE">
        <w:rPr>
          <w:rFonts w:ascii="Times New Roman" w:hAnsi="Times New Roman" w:cs="Times New Roman"/>
          <w:sz w:val="24"/>
          <w:szCs w:val="24"/>
        </w:rPr>
        <w:t xml:space="preserve">i ir plānoti </w:t>
      </w:r>
      <w:r>
        <w:rPr>
          <w:rFonts w:ascii="Times New Roman" w:hAnsi="Times New Roman" w:cs="Times New Roman"/>
          <w:sz w:val="24"/>
          <w:szCs w:val="24"/>
        </w:rPr>
        <w:t>30 176 436</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Plānotie ieņēmumi ir </w:t>
      </w:r>
      <w:r>
        <w:rPr>
          <w:rFonts w:ascii="Times New Roman" w:hAnsi="Times New Roman" w:cs="Times New Roman"/>
          <w:sz w:val="24"/>
          <w:szCs w:val="24"/>
        </w:rPr>
        <w:t xml:space="preserve">par 5,3% vairāk nekā </w:t>
      </w:r>
      <w:proofErr w:type="gramStart"/>
      <w:r>
        <w:rPr>
          <w:rFonts w:ascii="Times New Roman" w:hAnsi="Times New Roman" w:cs="Times New Roman"/>
          <w:sz w:val="24"/>
          <w:szCs w:val="24"/>
        </w:rPr>
        <w:t>2015</w:t>
      </w:r>
      <w:r w:rsidRPr="009B21DE">
        <w:rPr>
          <w:rFonts w:ascii="Times New Roman" w:hAnsi="Times New Roman" w:cs="Times New Roman"/>
          <w:sz w:val="24"/>
          <w:szCs w:val="24"/>
        </w:rPr>
        <w:t>.gadā</w:t>
      </w:r>
      <w:proofErr w:type="gramEnd"/>
      <w:r w:rsidRPr="009B21DE">
        <w:rPr>
          <w:rFonts w:ascii="Times New Roman" w:hAnsi="Times New Roman" w:cs="Times New Roman"/>
          <w:sz w:val="24"/>
          <w:szCs w:val="24"/>
        </w:rPr>
        <w:t xml:space="preserve"> sākotnēji plānotie (</w:t>
      </w:r>
      <w:r>
        <w:rPr>
          <w:rFonts w:ascii="Times New Roman" w:hAnsi="Times New Roman" w:cs="Times New Roman"/>
          <w:sz w:val="24"/>
          <w:szCs w:val="24"/>
        </w:rPr>
        <w:t>28 662 125</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Pašvaldības pamatbudžeta</w:t>
      </w:r>
      <w:r w:rsidRPr="009B21DE">
        <w:rPr>
          <w:rFonts w:ascii="Times New Roman" w:hAnsi="Times New Roman" w:cs="Times New Roman"/>
          <w:sz w:val="24"/>
          <w:szCs w:val="24"/>
        </w:rPr>
        <w:t xml:space="preserve"> ieņēmumus veido nodokļu un nenodokļu ieņēmumi, maksas pakalpojumi un citi pašu ieņēmumi, valsts mērķdotācijas un citu budžetu transferti. </w:t>
      </w:r>
    </w:p>
    <w:p w:rsidR="00B403E9" w:rsidRDefault="00B403E9" w:rsidP="00B403E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F7FC7">
        <w:rPr>
          <w:rFonts w:ascii="Times New Roman" w:hAnsi="Times New Roman" w:cs="Times New Roman"/>
          <w:b/>
          <w:sz w:val="24"/>
          <w:szCs w:val="24"/>
        </w:rPr>
        <w:t>Nodokļu ieņēmumi</w:t>
      </w:r>
      <w:r w:rsidRPr="009B21DE">
        <w:rPr>
          <w:rFonts w:ascii="Times New Roman" w:hAnsi="Times New Roman" w:cs="Times New Roman"/>
          <w:sz w:val="24"/>
          <w:szCs w:val="24"/>
        </w:rPr>
        <w:t xml:space="preserve"> ir galvenais pašvaldības ieņēmumu avots. Lielākais īpatsvars nodokļu ieņēmumos ir iedzīvotāju ienākuma nodok</w:t>
      </w:r>
      <w:r>
        <w:rPr>
          <w:rFonts w:ascii="Times New Roman" w:hAnsi="Times New Roman" w:cs="Times New Roman"/>
          <w:sz w:val="24"/>
          <w:szCs w:val="24"/>
        </w:rPr>
        <w:t xml:space="preserve">lis 14 908 696 </w:t>
      </w:r>
      <w:proofErr w:type="spellStart"/>
      <w:r w:rsidRPr="007C6648">
        <w:rPr>
          <w:rFonts w:ascii="Times New Roman" w:hAnsi="Times New Roman" w:cs="Times New Roman"/>
          <w:i/>
          <w:sz w:val="24"/>
          <w:szCs w:val="24"/>
        </w:rPr>
        <w:t>euro</w:t>
      </w:r>
      <w:proofErr w:type="spellEnd"/>
      <w:r>
        <w:rPr>
          <w:rFonts w:ascii="Times New Roman" w:hAnsi="Times New Roman" w:cs="Times New Roman"/>
          <w:sz w:val="24"/>
          <w:szCs w:val="24"/>
        </w:rPr>
        <w:t xml:space="preserve"> (49%), salīdzinot ar </w:t>
      </w:r>
      <w:proofErr w:type="gramStart"/>
      <w:r>
        <w:rPr>
          <w:rFonts w:ascii="Times New Roman" w:hAnsi="Times New Roman" w:cs="Times New Roman"/>
          <w:sz w:val="24"/>
          <w:szCs w:val="24"/>
        </w:rPr>
        <w:t>2015.gadu</w:t>
      </w:r>
      <w:proofErr w:type="gramEnd"/>
      <w:r>
        <w:rPr>
          <w:rFonts w:ascii="Times New Roman" w:hAnsi="Times New Roman" w:cs="Times New Roman"/>
          <w:sz w:val="24"/>
          <w:szCs w:val="24"/>
        </w:rPr>
        <w:t>, pieaugums ir 7,2</w:t>
      </w:r>
      <w:r w:rsidRPr="009B21DE">
        <w:rPr>
          <w:rFonts w:ascii="Times New Roman" w:hAnsi="Times New Roman" w:cs="Times New Roman"/>
          <w:sz w:val="24"/>
          <w:szCs w:val="24"/>
        </w:rPr>
        <w:t>% (</w:t>
      </w:r>
      <w:r>
        <w:rPr>
          <w:rFonts w:ascii="Times New Roman" w:hAnsi="Times New Roman" w:cs="Times New Roman"/>
          <w:sz w:val="24"/>
          <w:szCs w:val="24"/>
        </w:rPr>
        <w:t xml:space="preserve">1 078 925 </w:t>
      </w:r>
      <w:proofErr w:type="spellStart"/>
      <w:r w:rsidRPr="001F059A">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w:t>
      </w:r>
      <w:r>
        <w:rPr>
          <w:rFonts w:ascii="Times New Roman" w:hAnsi="Times New Roman" w:cs="Times New Roman"/>
          <w:sz w:val="24"/>
          <w:szCs w:val="24"/>
        </w:rPr>
        <w:t xml:space="preserve">Ienākuma nodokļu budžeta ieņēmumu apjoms </w:t>
      </w:r>
      <w:proofErr w:type="gramStart"/>
      <w:r>
        <w:rPr>
          <w:rFonts w:ascii="Times New Roman" w:hAnsi="Times New Roman" w:cs="Times New Roman"/>
          <w:sz w:val="24"/>
          <w:szCs w:val="24"/>
        </w:rPr>
        <w:t>2016.gadam</w:t>
      </w:r>
      <w:proofErr w:type="gramEnd"/>
      <w:r>
        <w:rPr>
          <w:rFonts w:ascii="Times New Roman" w:hAnsi="Times New Roman" w:cs="Times New Roman"/>
          <w:sz w:val="24"/>
          <w:szCs w:val="24"/>
        </w:rPr>
        <w:t xml:space="preserve"> tiek noteikts atbilstīgi Ministru kabineta noteikumiem “Kārtība, kādā iedzīvotāju ienākuma nodokli, ar nodokli saistīto nokavējuma naudu un soda naudu ieskaita budžetā”. Šie noteikumi paredz, ka kalendāra gadā pašvaldības budžetā ieskaitāmo nodokļa ieņēmumu daļu nosaka, pamatojoties uz katras pašvaldības īpatsvara koeficientu kopējos valstī iekasētajos nodokļa ieņēmumos no nodokļa maksātāju taksācijas gada ienākumiem pirms diviem gadiem. I</w:t>
      </w:r>
      <w:r w:rsidRPr="009B21DE">
        <w:rPr>
          <w:rFonts w:ascii="Times New Roman" w:hAnsi="Times New Roman" w:cs="Times New Roman"/>
          <w:sz w:val="24"/>
          <w:szCs w:val="24"/>
        </w:rPr>
        <w:t>edzīvotāju ienākuma nodokļa prognoze ir noteikta, ka pašvaldību īpatsvars iedzīvotāju ienākuma nodokļa sadalē neti</w:t>
      </w:r>
      <w:r>
        <w:rPr>
          <w:rFonts w:ascii="Times New Roman" w:hAnsi="Times New Roman" w:cs="Times New Roman"/>
          <w:sz w:val="24"/>
          <w:szCs w:val="24"/>
        </w:rPr>
        <w:t xml:space="preserve">ek mainīts salīdzinājumā ar </w:t>
      </w:r>
      <w:proofErr w:type="gramStart"/>
      <w:r>
        <w:rPr>
          <w:rFonts w:ascii="Times New Roman" w:hAnsi="Times New Roman" w:cs="Times New Roman"/>
          <w:sz w:val="24"/>
          <w:szCs w:val="24"/>
        </w:rPr>
        <w:t>2015</w:t>
      </w:r>
      <w:r w:rsidRPr="009B21DE">
        <w:rPr>
          <w:rFonts w:ascii="Times New Roman" w:hAnsi="Times New Roman" w:cs="Times New Roman"/>
          <w:sz w:val="24"/>
          <w:szCs w:val="24"/>
        </w:rPr>
        <w:t>.gadu</w:t>
      </w:r>
      <w:proofErr w:type="gramEnd"/>
      <w:r w:rsidRPr="009B21DE">
        <w:rPr>
          <w:rFonts w:ascii="Times New Roman" w:hAnsi="Times New Roman" w:cs="Times New Roman"/>
          <w:sz w:val="24"/>
          <w:szCs w:val="24"/>
        </w:rPr>
        <w:t xml:space="preserve"> – 80% pašvaldību budžetos un 20% valsts budžetā. </w:t>
      </w:r>
    </w:p>
    <w:p w:rsidR="00B403E9" w:rsidRDefault="00B403E9" w:rsidP="00B403E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B21DE">
        <w:rPr>
          <w:rFonts w:ascii="Times New Roman" w:hAnsi="Times New Roman" w:cs="Times New Roman"/>
          <w:sz w:val="24"/>
          <w:szCs w:val="24"/>
        </w:rPr>
        <w:t xml:space="preserve">Saskaņā ar nekustamā īpašuma nodokļa prognozi pašvaldības budžeta īpašuma nodokļa ieņēmumi </w:t>
      </w:r>
      <w:r>
        <w:rPr>
          <w:rFonts w:ascii="Times New Roman" w:hAnsi="Times New Roman" w:cs="Times New Roman"/>
          <w:sz w:val="24"/>
          <w:szCs w:val="24"/>
        </w:rPr>
        <w:t>pieaugs par 9,1</w:t>
      </w:r>
      <w:r w:rsidRPr="009B21DE">
        <w:rPr>
          <w:rFonts w:ascii="Times New Roman" w:hAnsi="Times New Roman" w:cs="Times New Roman"/>
          <w:sz w:val="24"/>
          <w:szCs w:val="24"/>
        </w:rPr>
        <w:t xml:space="preserve"> % (</w:t>
      </w:r>
      <w:r>
        <w:rPr>
          <w:rFonts w:ascii="Times New Roman" w:hAnsi="Times New Roman" w:cs="Times New Roman"/>
          <w:sz w:val="24"/>
          <w:szCs w:val="24"/>
        </w:rPr>
        <w:t>161 746</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w:t>
      </w:r>
      <w:r w:rsidRPr="00D013EB">
        <w:rPr>
          <w:rFonts w:ascii="Times New Roman" w:hAnsi="Times New Roman" w:cs="Times New Roman"/>
          <w:sz w:val="24"/>
          <w:szCs w:val="24"/>
        </w:rPr>
        <w:t>Š</w:t>
      </w:r>
      <w:r>
        <w:rPr>
          <w:rFonts w:ascii="Times New Roman" w:hAnsi="Times New Roman" w:cs="Times New Roman"/>
          <w:sz w:val="24"/>
          <w:szCs w:val="24"/>
        </w:rPr>
        <w:t>ī nodokļa ieņēmumu prognozes</w:t>
      </w:r>
      <w:r w:rsidRPr="00D013EB">
        <w:rPr>
          <w:rFonts w:ascii="Times New Roman" w:hAnsi="Times New Roman" w:cs="Times New Roman"/>
          <w:sz w:val="24"/>
          <w:szCs w:val="24"/>
        </w:rPr>
        <w:t xml:space="preserve"> </w:t>
      </w:r>
      <w:proofErr w:type="gramStart"/>
      <w:r w:rsidRPr="00D013EB">
        <w:rPr>
          <w:rFonts w:ascii="Times New Roman" w:hAnsi="Times New Roman" w:cs="Times New Roman"/>
          <w:sz w:val="24"/>
          <w:szCs w:val="24"/>
        </w:rPr>
        <w:t>2016.gadā</w:t>
      </w:r>
      <w:proofErr w:type="gramEnd"/>
      <w:r w:rsidRPr="00D013EB">
        <w:rPr>
          <w:rFonts w:ascii="Times New Roman" w:hAnsi="Times New Roman" w:cs="Times New Roman"/>
          <w:sz w:val="24"/>
          <w:szCs w:val="24"/>
        </w:rPr>
        <w:t xml:space="preserve"> noteiktais </w:t>
      </w:r>
      <w:proofErr w:type="spellStart"/>
      <w:r w:rsidRPr="00D013EB">
        <w:rPr>
          <w:rFonts w:ascii="Times New Roman" w:hAnsi="Times New Roman" w:cs="Times New Roman"/>
          <w:sz w:val="24"/>
          <w:szCs w:val="24"/>
        </w:rPr>
        <w:t>iekasējamības</w:t>
      </w:r>
      <w:proofErr w:type="spellEnd"/>
      <w:r w:rsidRPr="00D013EB">
        <w:rPr>
          <w:rFonts w:ascii="Times New Roman" w:hAnsi="Times New Roman" w:cs="Times New Roman"/>
          <w:sz w:val="24"/>
          <w:szCs w:val="24"/>
        </w:rPr>
        <w:t xml:space="preserve"> koeficients ir 80%. Parādus par nekustamā īpašuma nodokli tiek plānots iekasēt 44% (195 000 </w:t>
      </w:r>
      <w:proofErr w:type="spellStart"/>
      <w:r w:rsidRPr="00D013EB">
        <w:rPr>
          <w:rFonts w:ascii="Times New Roman" w:hAnsi="Times New Roman" w:cs="Times New Roman"/>
          <w:i/>
          <w:sz w:val="24"/>
          <w:szCs w:val="24"/>
        </w:rPr>
        <w:t>euro</w:t>
      </w:r>
      <w:proofErr w:type="spellEnd"/>
      <w:r w:rsidRPr="00D013EB">
        <w:rPr>
          <w:rFonts w:ascii="Times New Roman" w:hAnsi="Times New Roman" w:cs="Times New Roman"/>
          <w:sz w:val="24"/>
          <w:szCs w:val="24"/>
        </w:rPr>
        <w:t>) no aprēķinātā</w:t>
      </w:r>
      <w:r w:rsidRPr="009B21DE">
        <w:rPr>
          <w:rFonts w:ascii="Times New Roman" w:hAnsi="Times New Roman" w:cs="Times New Roman"/>
          <w:sz w:val="24"/>
          <w:szCs w:val="24"/>
        </w:rPr>
        <w:t xml:space="preserve"> parāda</w:t>
      </w:r>
      <w:r>
        <w:rPr>
          <w:rFonts w:ascii="Times New Roman" w:hAnsi="Times New Roman" w:cs="Times New Roman"/>
          <w:sz w:val="24"/>
          <w:szCs w:val="24"/>
        </w:rPr>
        <w:t xml:space="preserve"> 438 983 </w:t>
      </w:r>
      <w:proofErr w:type="spellStart"/>
      <w:r w:rsidRPr="00D013EB">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w:t>
      </w:r>
    </w:p>
    <w:p w:rsidR="00B403E9" w:rsidRDefault="00B403E9" w:rsidP="00B403E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B21DE">
        <w:rPr>
          <w:rFonts w:ascii="Times New Roman" w:hAnsi="Times New Roman" w:cs="Times New Roman"/>
          <w:sz w:val="24"/>
          <w:szCs w:val="24"/>
        </w:rPr>
        <w:t xml:space="preserve">Azartspēļu nodoklis plānots </w:t>
      </w:r>
      <w:r>
        <w:rPr>
          <w:rFonts w:ascii="Times New Roman" w:hAnsi="Times New Roman" w:cs="Times New Roman"/>
          <w:sz w:val="24"/>
          <w:szCs w:val="24"/>
        </w:rPr>
        <w:t>100 000</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xml:space="preserve"> apmērā, pieaugums pret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sākotnējo plānu ir 3000</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w:t>
      </w:r>
      <w:r>
        <w:rPr>
          <w:rFonts w:ascii="Times New Roman" w:hAnsi="Times New Roman" w:cs="Times New Roman"/>
          <w:sz w:val="24"/>
          <w:szCs w:val="24"/>
        </w:rPr>
        <w:t xml:space="preserve"> Sakarā ar lēmumu palielināt azartspēļu nodokli par 4,2 % līdz 5,06% (atkarībā no azartspēļu veida), ir plānots ieņēmumu palielinājums.</w:t>
      </w:r>
    </w:p>
    <w:p w:rsidR="00B403E9" w:rsidRPr="009B21DE" w:rsidRDefault="00B403E9" w:rsidP="00B403E9">
      <w:pPr>
        <w:spacing w:after="0"/>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CF7FC7">
        <w:rPr>
          <w:rFonts w:ascii="Times New Roman" w:hAnsi="Times New Roman" w:cs="Times New Roman"/>
          <w:b/>
          <w:sz w:val="24"/>
          <w:szCs w:val="24"/>
        </w:rPr>
        <w:t>Nenodokļu ieņēmumus</w:t>
      </w:r>
      <w:r>
        <w:rPr>
          <w:rFonts w:ascii="Times New Roman" w:hAnsi="Times New Roman" w:cs="Times New Roman"/>
          <w:sz w:val="24"/>
          <w:szCs w:val="24"/>
        </w:rPr>
        <w:t xml:space="preserve"> </w:t>
      </w:r>
      <w:proofErr w:type="gramStart"/>
      <w:r>
        <w:rPr>
          <w:rFonts w:ascii="Times New Roman" w:hAnsi="Times New Roman" w:cs="Times New Roman"/>
          <w:sz w:val="24"/>
          <w:szCs w:val="24"/>
        </w:rPr>
        <w:t>2016</w:t>
      </w:r>
      <w:r w:rsidRPr="009B21DE">
        <w:rPr>
          <w:rFonts w:ascii="Times New Roman" w:hAnsi="Times New Roman" w:cs="Times New Roman"/>
          <w:sz w:val="24"/>
          <w:szCs w:val="24"/>
        </w:rPr>
        <w:t>.gadā</w:t>
      </w:r>
      <w:proofErr w:type="gramEnd"/>
      <w:r w:rsidRPr="009B21DE">
        <w:rPr>
          <w:rFonts w:ascii="Times New Roman" w:hAnsi="Times New Roman" w:cs="Times New Roman"/>
          <w:sz w:val="24"/>
          <w:szCs w:val="24"/>
        </w:rPr>
        <w:t xml:space="preserve"> plānots iekasēt </w:t>
      </w:r>
      <w:r>
        <w:rPr>
          <w:rFonts w:ascii="Times New Roman" w:hAnsi="Times New Roman" w:cs="Times New Roman"/>
          <w:sz w:val="24"/>
          <w:szCs w:val="24"/>
        </w:rPr>
        <w:t>437 472</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apmērā. Šos ieņēmumus veido </w:t>
      </w:r>
      <w:r>
        <w:rPr>
          <w:rFonts w:ascii="Times New Roman" w:hAnsi="Times New Roman" w:cs="Times New Roman"/>
          <w:sz w:val="24"/>
          <w:szCs w:val="24"/>
        </w:rPr>
        <w:t>peļņas daļa no pašvaldībā esošo dzīvokļu izīrēšanas (no 2016. gada)</w:t>
      </w:r>
      <w:r w:rsidRPr="009B21DE">
        <w:rPr>
          <w:rFonts w:ascii="Times New Roman" w:hAnsi="Times New Roman" w:cs="Times New Roman"/>
          <w:sz w:val="24"/>
          <w:szCs w:val="24"/>
        </w:rPr>
        <w:t>, valsts un pašvaldību nodeva</w:t>
      </w:r>
      <w:r>
        <w:rPr>
          <w:rFonts w:ascii="Times New Roman" w:hAnsi="Times New Roman" w:cs="Times New Roman"/>
          <w:sz w:val="24"/>
          <w:szCs w:val="24"/>
        </w:rPr>
        <w:t>s, naudas sodi</w:t>
      </w:r>
      <w:r w:rsidRPr="009B21DE">
        <w:rPr>
          <w:rFonts w:ascii="Times New Roman" w:hAnsi="Times New Roman" w:cs="Times New Roman"/>
          <w:sz w:val="24"/>
          <w:szCs w:val="24"/>
        </w:rPr>
        <w:t xml:space="preserve"> un sankcijas, kā arī ieņēmumi no</w:t>
      </w:r>
      <w:r>
        <w:rPr>
          <w:rFonts w:ascii="Times New Roman" w:hAnsi="Times New Roman" w:cs="Times New Roman"/>
          <w:sz w:val="24"/>
          <w:szCs w:val="24"/>
        </w:rPr>
        <w:t xml:space="preserve"> pašvaldības</w:t>
      </w:r>
      <w:r w:rsidRPr="009B21DE">
        <w:rPr>
          <w:rFonts w:ascii="Times New Roman" w:hAnsi="Times New Roman" w:cs="Times New Roman"/>
          <w:sz w:val="24"/>
          <w:szCs w:val="24"/>
        </w:rPr>
        <w:t xml:space="preserve"> īpašumu p</w:t>
      </w:r>
      <w:r>
        <w:rPr>
          <w:rFonts w:ascii="Times New Roman" w:hAnsi="Times New Roman" w:cs="Times New Roman"/>
          <w:sz w:val="24"/>
          <w:szCs w:val="24"/>
        </w:rPr>
        <w:t xml:space="preserve">ārdošanas. Salīdzinot ar </w:t>
      </w:r>
      <w:proofErr w:type="gramStart"/>
      <w:r>
        <w:rPr>
          <w:rFonts w:ascii="Times New Roman" w:hAnsi="Times New Roman" w:cs="Times New Roman"/>
          <w:sz w:val="24"/>
          <w:szCs w:val="24"/>
        </w:rPr>
        <w:t>2015</w:t>
      </w:r>
      <w:r w:rsidRPr="009B21DE">
        <w:rPr>
          <w:rFonts w:ascii="Times New Roman" w:hAnsi="Times New Roman" w:cs="Times New Roman"/>
          <w:sz w:val="24"/>
          <w:szCs w:val="24"/>
        </w:rPr>
        <w:t>.gadu</w:t>
      </w:r>
      <w:proofErr w:type="gramEnd"/>
      <w:r>
        <w:rPr>
          <w:rFonts w:ascii="Times New Roman" w:hAnsi="Times New Roman" w:cs="Times New Roman"/>
          <w:sz w:val="24"/>
          <w:szCs w:val="24"/>
        </w:rPr>
        <w:t>,</w:t>
      </w:r>
      <w:r w:rsidRPr="009B21DE">
        <w:rPr>
          <w:rFonts w:ascii="Times New Roman" w:hAnsi="Times New Roman" w:cs="Times New Roman"/>
          <w:sz w:val="24"/>
          <w:szCs w:val="24"/>
        </w:rPr>
        <w:t xml:space="preserve"> še</w:t>
      </w:r>
      <w:r>
        <w:rPr>
          <w:rFonts w:ascii="Times New Roman" w:hAnsi="Times New Roman" w:cs="Times New Roman"/>
          <w:sz w:val="24"/>
          <w:szCs w:val="24"/>
        </w:rPr>
        <w:t>it ir paredzēts</w:t>
      </w:r>
      <w:r w:rsidRPr="009B21DE">
        <w:rPr>
          <w:rFonts w:ascii="Times New Roman" w:hAnsi="Times New Roman" w:cs="Times New Roman"/>
          <w:sz w:val="24"/>
          <w:szCs w:val="24"/>
        </w:rPr>
        <w:t xml:space="preserve"> ieņēmumu pieaugums </w:t>
      </w:r>
      <w:r>
        <w:rPr>
          <w:rFonts w:ascii="Times New Roman" w:hAnsi="Times New Roman" w:cs="Times New Roman"/>
          <w:sz w:val="24"/>
          <w:szCs w:val="24"/>
        </w:rPr>
        <w:t>par 103 722</w:t>
      </w:r>
      <w:r w:rsidRPr="009B21DE">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jo tiek plānots </w:t>
      </w:r>
      <w:r>
        <w:rPr>
          <w:rFonts w:ascii="Times New Roman" w:hAnsi="Times New Roman" w:cs="Times New Roman"/>
          <w:sz w:val="24"/>
          <w:szCs w:val="24"/>
        </w:rPr>
        <w:t>atsavinā</w:t>
      </w:r>
      <w:r w:rsidRPr="009B21DE">
        <w:rPr>
          <w:rFonts w:ascii="Times New Roman" w:hAnsi="Times New Roman" w:cs="Times New Roman"/>
          <w:sz w:val="24"/>
          <w:szCs w:val="24"/>
        </w:rPr>
        <w:t>t pašvaldības</w:t>
      </w:r>
      <w:r>
        <w:rPr>
          <w:rFonts w:ascii="Times New Roman" w:hAnsi="Times New Roman" w:cs="Times New Roman"/>
          <w:sz w:val="24"/>
          <w:szCs w:val="24"/>
        </w:rPr>
        <w:t xml:space="preserve"> īpašumus (nedzīvojamās ēkas, lauksaimniecības zemi), kuri nav nepieciešami pašvaldības funkciju veikšanai</w:t>
      </w:r>
      <w:r w:rsidRPr="009B21DE">
        <w:rPr>
          <w:rFonts w:ascii="Times New Roman" w:hAnsi="Times New Roman" w:cs="Times New Roman"/>
          <w:sz w:val="24"/>
          <w:szCs w:val="24"/>
        </w:rPr>
        <w:t>.</w:t>
      </w:r>
    </w:p>
    <w:p w:rsidR="00B403E9" w:rsidRPr="009B21DE" w:rsidRDefault="00B403E9" w:rsidP="00B403E9">
      <w:pPr>
        <w:spacing w:after="0"/>
        <w:ind w:firstLine="720"/>
        <w:jc w:val="both"/>
        <w:rPr>
          <w:rFonts w:ascii="Times New Roman" w:hAnsi="Times New Roman" w:cs="Times New Roman"/>
          <w:sz w:val="24"/>
          <w:szCs w:val="24"/>
        </w:rPr>
      </w:pPr>
      <w:r w:rsidRPr="00CF7FC7">
        <w:rPr>
          <w:rFonts w:ascii="Times New Roman" w:hAnsi="Times New Roman" w:cs="Times New Roman"/>
          <w:b/>
          <w:sz w:val="24"/>
          <w:szCs w:val="24"/>
        </w:rPr>
        <w:t>Ieņēmumi no maksas pakalpojumiem</w:t>
      </w:r>
      <w:r w:rsidRPr="009B21DE">
        <w:rPr>
          <w:rFonts w:ascii="Times New Roman" w:hAnsi="Times New Roman" w:cs="Times New Roman"/>
          <w:sz w:val="24"/>
          <w:szCs w:val="24"/>
        </w:rPr>
        <w:t xml:space="preserve"> un citi pašu ieņēmumi plānoti </w:t>
      </w:r>
      <w:r>
        <w:rPr>
          <w:rFonts w:ascii="Times New Roman" w:hAnsi="Times New Roman" w:cs="Times New Roman"/>
          <w:sz w:val="24"/>
          <w:szCs w:val="24"/>
        </w:rPr>
        <w:t>918 389</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w:t>
      </w:r>
      <w:r w:rsidRPr="009B21DE">
        <w:rPr>
          <w:rFonts w:ascii="Times New Roman" w:hAnsi="Times New Roman" w:cs="Times New Roman"/>
          <w:sz w:val="24"/>
          <w:szCs w:val="24"/>
        </w:rPr>
        <w:t xml:space="preserve"> </w:t>
      </w:r>
      <w:r>
        <w:rPr>
          <w:rFonts w:ascii="Times New Roman" w:hAnsi="Times New Roman" w:cs="Times New Roman"/>
          <w:sz w:val="24"/>
          <w:szCs w:val="24"/>
        </w:rPr>
        <w:t xml:space="preserve">Salīdzinot ar </w:t>
      </w:r>
      <w:proofErr w:type="gramStart"/>
      <w:r>
        <w:rPr>
          <w:rFonts w:ascii="Times New Roman" w:hAnsi="Times New Roman" w:cs="Times New Roman"/>
          <w:sz w:val="24"/>
          <w:szCs w:val="24"/>
        </w:rPr>
        <w:t>2015</w:t>
      </w:r>
      <w:r w:rsidRPr="009B21DE">
        <w:rPr>
          <w:rFonts w:ascii="Times New Roman" w:hAnsi="Times New Roman" w:cs="Times New Roman"/>
          <w:sz w:val="24"/>
          <w:szCs w:val="24"/>
        </w:rPr>
        <w:t>.</w:t>
      </w:r>
      <w:r>
        <w:rPr>
          <w:rFonts w:ascii="Times New Roman" w:hAnsi="Times New Roman" w:cs="Times New Roman"/>
          <w:sz w:val="24"/>
          <w:szCs w:val="24"/>
        </w:rPr>
        <w:t>g</w:t>
      </w:r>
      <w:r w:rsidRPr="009B21DE">
        <w:rPr>
          <w:rFonts w:ascii="Times New Roman" w:hAnsi="Times New Roman" w:cs="Times New Roman"/>
          <w:sz w:val="24"/>
          <w:szCs w:val="24"/>
        </w:rPr>
        <w:t>adu</w:t>
      </w:r>
      <w:proofErr w:type="gramEnd"/>
      <w:r>
        <w:rPr>
          <w:rFonts w:ascii="Times New Roman" w:hAnsi="Times New Roman" w:cs="Times New Roman"/>
          <w:sz w:val="24"/>
          <w:szCs w:val="24"/>
        </w:rPr>
        <w:t>,</w:t>
      </w:r>
      <w:r w:rsidRPr="009B21DE">
        <w:rPr>
          <w:rFonts w:ascii="Times New Roman" w:hAnsi="Times New Roman" w:cs="Times New Roman"/>
          <w:sz w:val="24"/>
          <w:szCs w:val="24"/>
        </w:rPr>
        <w:t xml:space="preserve"> maksas pakalpojumi un citi pašu i</w:t>
      </w:r>
      <w:r>
        <w:rPr>
          <w:rFonts w:ascii="Times New Roman" w:hAnsi="Times New Roman" w:cs="Times New Roman"/>
          <w:sz w:val="24"/>
          <w:szCs w:val="24"/>
        </w:rPr>
        <w:t xml:space="preserve">eņēmumi ir pieauguši par 6 436 </w:t>
      </w:r>
      <w:proofErr w:type="spellStart"/>
      <w:r w:rsidRPr="00F81D43">
        <w:rPr>
          <w:rFonts w:ascii="Times New Roman" w:hAnsi="Times New Roman" w:cs="Times New Roman"/>
          <w:i/>
          <w:sz w:val="24"/>
          <w:szCs w:val="24"/>
        </w:rPr>
        <w:t>euro</w:t>
      </w:r>
      <w:proofErr w:type="spellEnd"/>
      <w:r>
        <w:rPr>
          <w:rFonts w:ascii="Times New Roman" w:hAnsi="Times New Roman" w:cs="Times New Roman"/>
          <w:sz w:val="24"/>
          <w:szCs w:val="24"/>
        </w:rPr>
        <w:t>, jo 2016. gadā stājās spēkā jaunie maksas pakalpojumu izcenojumi.</w:t>
      </w:r>
    </w:p>
    <w:p w:rsidR="00B403E9" w:rsidRPr="009B21DE" w:rsidRDefault="00B403E9" w:rsidP="00B403E9">
      <w:pPr>
        <w:spacing w:after="0"/>
        <w:jc w:val="both"/>
        <w:rPr>
          <w:rFonts w:ascii="Times New Roman" w:hAnsi="Times New Roman" w:cs="Times New Roman"/>
          <w:sz w:val="24"/>
          <w:szCs w:val="24"/>
        </w:rPr>
      </w:pPr>
      <w:r w:rsidRPr="009B21DE">
        <w:rPr>
          <w:rFonts w:ascii="Times New Roman" w:hAnsi="Times New Roman" w:cs="Times New Roman"/>
          <w:sz w:val="24"/>
          <w:szCs w:val="24"/>
        </w:rPr>
        <w:tab/>
      </w:r>
      <w:r w:rsidRPr="00CF7FC7">
        <w:rPr>
          <w:rFonts w:ascii="Times New Roman" w:hAnsi="Times New Roman" w:cs="Times New Roman"/>
          <w:b/>
          <w:sz w:val="24"/>
          <w:szCs w:val="24"/>
        </w:rPr>
        <w:t>Valsts budžeta transferti</w:t>
      </w:r>
      <w:r w:rsidRPr="009B21DE">
        <w:rPr>
          <w:rFonts w:ascii="Times New Roman" w:hAnsi="Times New Roman" w:cs="Times New Roman"/>
          <w:sz w:val="24"/>
          <w:szCs w:val="24"/>
        </w:rPr>
        <w:t xml:space="preserve"> – mērķdotācijas un dotācijas </w:t>
      </w:r>
      <w:r>
        <w:rPr>
          <w:rFonts w:ascii="Times New Roman" w:hAnsi="Times New Roman" w:cs="Times New Roman"/>
          <w:sz w:val="24"/>
          <w:szCs w:val="24"/>
        </w:rPr>
        <w:t>2016</w:t>
      </w:r>
      <w:r w:rsidRPr="009B21DE">
        <w:rPr>
          <w:rFonts w:ascii="Times New Roman" w:hAnsi="Times New Roman" w:cs="Times New Roman"/>
          <w:sz w:val="24"/>
          <w:szCs w:val="24"/>
        </w:rPr>
        <w:t xml:space="preserve">. gadā plānotas </w:t>
      </w:r>
      <w:r>
        <w:rPr>
          <w:rFonts w:ascii="Times New Roman" w:hAnsi="Times New Roman" w:cs="Times New Roman"/>
          <w:sz w:val="24"/>
          <w:szCs w:val="24"/>
        </w:rPr>
        <w:t xml:space="preserve">11 658 224 </w:t>
      </w:r>
      <w:proofErr w:type="spellStart"/>
      <w:r w:rsidRPr="00455925">
        <w:rPr>
          <w:rFonts w:ascii="Times New Roman" w:hAnsi="Times New Roman" w:cs="Times New Roman"/>
          <w:i/>
          <w:sz w:val="24"/>
          <w:szCs w:val="24"/>
        </w:rPr>
        <w:t>euro</w:t>
      </w:r>
      <w:proofErr w:type="spellEnd"/>
      <w:r w:rsidRPr="00455925">
        <w:rPr>
          <w:rFonts w:ascii="Times New Roman" w:hAnsi="Times New Roman" w:cs="Times New Roman"/>
          <w:i/>
          <w:sz w:val="24"/>
          <w:szCs w:val="24"/>
        </w:rPr>
        <w:t xml:space="preserve"> </w:t>
      </w:r>
      <w:r>
        <w:rPr>
          <w:rFonts w:ascii="Times New Roman" w:hAnsi="Times New Roman" w:cs="Times New Roman"/>
          <w:sz w:val="24"/>
          <w:szCs w:val="24"/>
        </w:rPr>
        <w:t>(39</w:t>
      </w:r>
      <w:r w:rsidRPr="009B21DE">
        <w:rPr>
          <w:rFonts w:ascii="Times New Roman" w:hAnsi="Times New Roman" w:cs="Times New Roman"/>
          <w:sz w:val="24"/>
          <w:szCs w:val="24"/>
        </w:rPr>
        <w:t xml:space="preserve"> % no ieņēmu</w:t>
      </w:r>
      <w:r>
        <w:rPr>
          <w:rFonts w:ascii="Times New Roman" w:hAnsi="Times New Roman" w:cs="Times New Roman"/>
          <w:sz w:val="24"/>
          <w:szCs w:val="24"/>
        </w:rPr>
        <w:t>miem). Transferti plānoti par 1,1</w:t>
      </w:r>
      <w:r w:rsidRPr="009B21DE">
        <w:rPr>
          <w:rFonts w:ascii="Times New Roman" w:hAnsi="Times New Roman" w:cs="Times New Roman"/>
          <w:sz w:val="24"/>
          <w:szCs w:val="24"/>
        </w:rPr>
        <w:t>% vairāk (</w:t>
      </w:r>
      <w:r>
        <w:rPr>
          <w:rFonts w:ascii="Times New Roman" w:hAnsi="Times New Roman" w:cs="Times New Roman"/>
          <w:sz w:val="24"/>
          <w:szCs w:val="24"/>
        </w:rPr>
        <w:t>136 695</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Valst</w:t>
      </w:r>
      <w:r>
        <w:rPr>
          <w:rFonts w:ascii="Times New Roman" w:hAnsi="Times New Roman" w:cs="Times New Roman"/>
          <w:sz w:val="24"/>
          <w:szCs w:val="24"/>
        </w:rPr>
        <w:t xml:space="preserve">s budžeta transfertu </w:t>
      </w:r>
      <w:r>
        <w:rPr>
          <w:rFonts w:ascii="Times New Roman" w:hAnsi="Times New Roman" w:cs="Times New Roman"/>
          <w:sz w:val="24"/>
          <w:szCs w:val="24"/>
        </w:rPr>
        <w:lastRenderedPageBreak/>
        <w:t xml:space="preserve">apjoms </w:t>
      </w:r>
      <w:proofErr w:type="gramStart"/>
      <w:r>
        <w:rPr>
          <w:rFonts w:ascii="Times New Roman" w:hAnsi="Times New Roman" w:cs="Times New Roman"/>
          <w:sz w:val="24"/>
          <w:szCs w:val="24"/>
        </w:rPr>
        <w:t>2016</w:t>
      </w:r>
      <w:r w:rsidRPr="009B21DE">
        <w:rPr>
          <w:rFonts w:ascii="Times New Roman" w:hAnsi="Times New Roman" w:cs="Times New Roman"/>
          <w:sz w:val="24"/>
          <w:szCs w:val="24"/>
        </w:rPr>
        <w:t>.</w:t>
      </w:r>
      <w:r>
        <w:rPr>
          <w:rFonts w:ascii="Times New Roman" w:hAnsi="Times New Roman" w:cs="Times New Roman"/>
          <w:sz w:val="24"/>
          <w:szCs w:val="24"/>
        </w:rPr>
        <w:t>gadā</w:t>
      </w:r>
      <w:proofErr w:type="gramEnd"/>
      <w:r>
        <w:rPr>
          <w:rFonts w:ascii="Times New Roman" w:hAnsi="Times New Roman" w:cs="Times New Roman"/>
          <w:sz w:val="24"/>
          <w:szCs w:val="24"/>
        </w:rPr>
        <w:t xml:space="preserve"> ir plānots, ņemot vērā 2016</w:t>
      </w:r>
      <w:r w:rsidRPr="009B21DE">
        <w:rPr>
          <w:rFonts w:ascii="Times New Roman" w:hAnsi="Times New Roman" w:cs="Times New Roman"/>
          <w:sz w:val="24"/>
          <w:szCs w:val="24"/>
        </w:rPr>
        <w:t>.gada valsts budžetā paredzēto finansējumu, spēkā esošos normatīvos aktus (Ministru kabineta 2012.gada 18.decembra noteikumi Nr.942 „Kārtība, kādā piešķir un finansē asistenta pakalpojumu pašvaldībā”, Ministru kabineta 2012.gada 25.septembra noteikumi Nr.670 „Kārtība, kādā pašvaldībām tiek aprēķināta un sadalīta valsts budžeta mērķdotācija māksliniecisko kolektīvu vadītāju darba samaksai un valsts sociālās apdrošināšanas obligātajām iemaksām”</w:t>
      </w:r>
      <w:r>
        <w:rPr>
          <w:rFonts w:ascii="Times New Roman" w:hAnsi="Times New Roman" w:cs="Times New Roman"/>
          <w:sz w:val="24"/>
          <w:szCs w:val="24"/>
        </w:rPr>
        <w:t>)</w:t>
      </w:r>
      <w:r w:rsidRPr="009B21DE">
        <w:rPr>
          <w:rFonts w:ascii="Times New Roman" w:hAnsi="Times New Roman" w:cs="Times New Roman"/>
          <w:sz w:val="24"/>
          <w:szCs w:val="24"/>
        </w:rPr>
        <w:t xml:space="preserve">, noslēgtos līgumus par Eiropas Savienības fondu apguvi. </w:t>
      </w:r>
      <w:r w:rsidRPr="009B21DE">
        <w:rPr>
          <w:rFonts w:ascii="Times New Roman" w:hAnsi="Times New Roman" w:cs="Times New Roman"/>
          <w:sz w:val="24"/>
          <w:szCs w:val="24"/>
        </w:rPr>
        <w:tab/>
        <w:t xml:space="preserve">Pašvaldību budžeta transferta ieņēmumi ir plānoti </w:t>
      </w:r>
      <w:r>
        <w:rPr>
          <w:rFonts w:ascii="Times New Roman" w:hAnsi="Times New Roman" w:cs="Times New Roman"/>
          <w:sz w:val="24"/>
          <w:szCs w:val="24"/>
        </w:rPr>
        <w:t xml:space="preserve">421 720 </w:t>
      </w:r>
      <w:proofErr w:type="spellStart"/>
      <w:r w:rsidRPr="004F28B7">
        <w:rPr>
          <w:rFonts w:ascii="Times New Roman" w:hAnsi="Times New Roman" w:cs="Times New Roman"/>
          <w:i/>
          <w:sz w:val="24"/>
          <w:szCs w:val="24"/>
        </w:rPr>
        <w:t>euro</w:t>
      </w:r>
      <w:proofErr w:type="spellEnd"/>
      <w:r>
        <w:rPr>
          <w:rFonts w:ascii="Times New Roman" w:hAnsi="Times New Roman" w:cs="Times New Roman"/>
          <w:sz w:val="24"/>
          <w:szCs w:val="24"/>
        </w:rPr>
        <w:t>, t.i. par savstarpējiem norēķiniem</w:t>
      </w:r>
      <w:r w:rsidRPr="009B21DE">
        <w:rPr>
          <w:rFonts w:ascii="Times New Roman" w:hAnsi="Times New Roman" w:cs="Times New Roman"/>
          <w:sz w:val="24"/>
          <w:szCs w:val="24"/>
        </w:rPr>
        <w:t xml:space="preserve"> izglītības (</w:t>
      </w:r>
      <w:r>
        <w:rPr>
          <w:rFonts w:ascii="Times New Roman" w:hAnsi="Times New Roman" w:cs="Times New Roman"/>
          <w:sz w:val="24"/>
          <w:szCs w:val="24"/>
        </w:rPr>
        <w:t>312 020</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kultūras, spo</w:t>
      </w:r>
      <w:r>
        <w:rPr>
          <w:rFonts w:ascii="Times New Roman" w:hAnsi="Times New Roman" w:cs="Times New Roman"/>
          <w:sz w:val="24"/>
          <w:szCs w:val="24"/>
        </w:rPr>
        <w:t xml:space="preserve">rta, </w:t>
      </w:r>
      <w:r w:rsidRPr="009B21DE">
        <w:rPr>
          <w:rFonts w:ascii="Times New Roman" w:hAnsi="Times New Roman" w:cs="Times New Roman"/>
          <w:sz w:val="24"/>
          <w:szCs w:val="24"/>
        </w:rPr>
        <w:t>tūrisma un aprūpes funkciju nodrošināšanas pakalpojumiem</w:t>
      </w:r>
      <w:r>
        <w:rPr>
          <w:rFonts w:ascii="Times New Roman" w:hAnsi="Times New Roman" w:cs="Times New Roman"/>
          <w:sz w:val="24"/>
          <w:szCs w:val="24"/>
        </w:rPr>
        <w:t xml:space="preserve"> (109 700 </w:t>
      </w:r>
      <w:proofErr w:type="spellStart"/>
      <w:r w:rsidRPr="00E51A95">
        <w:rPr>
          <w:rFonts w:ascii="Times New Roman" w:hAnsi="Times New Roman" w:cs="Times New Roman"/>
          <w:i/>
          <w:sz w:val="24"/>
          <w:szCs w:val="24"/>
        </w:rPr>
        <w:t>euro</w:t>
      </w:r>
      <w:proofErr w:type="spellEnd"/>
      <w:r w:rsidRPr="00E51A95">
        <w:rPr>
          <w:rFonts w:ascii="Times New Roman" w:hAnsi="Times New Roman" w:cs="Times New Roman"/>
          <w:i/>
          <w:sz w:val="24"/>
          <w:szCs w:val="24"/>
        </w:rPr>
        <w:t>)</w:t>
      </w:r>
      <w:r w:rsidRPr="009B21DE">
        <w:rPr>
          <w:rFonts w:ascii="Times New Roman" w:hAnsi="Times New Roman" w:cs="Times New Roman"/>
          <w:sz w:val="24"/>
          <w:szCs w:val="24"/>
        </w:rPr>
        <w:t>.</w:t>
      </w:r>
    </w:p>
    <w:p w:rsidR="00B403E9" w:rsidRPr="009B21DE" w:rsidRDefault="00B403E9" w:rsidP="00B403E9">
      <w:pPr>
        <w:jc w:val="both"/>
        <w:rPr>
          <w:rFonts w:ascii="Times New Roman" w:hAnsi="Times New Roman" w:cs="Times New Roman"/>
          <w:sz w:val="24"/>
          <w:szCs w:val="24"/>
        </w:rPr>
      </w:pPr>
    </w:p>
    <w:p w:rsidR="00B403E9" w:rsidRPr="00985A5C" w:rsidRDefault="00B403E9" w:rsidP="00B403E9">
      <w:pPr>
        <w:jc w:val="both"/>
        <w:rPr>
          <w:rFonts w:ascii="Times New Roman" w:hAnsi="Times New Roman" w:cs="Times New Roman"/>
          <w:i/>
          <w:sz w:val="24"/>
          <w:szCs w:val="24"/>
        </w:rPr>
      </w:pPr>
      <w:r w:rsidRPr="00985A5C">
        <w:rPr>
          <w:rFonts w:ascii="Times New Roman" w:hAnsi="Times New Roman" w:cs="Times New Roman"/>
          <w:i/>
          <w:sz w:val="24"/>
          <w:szCs w:val="24"/>
        </w:rPr>
        <w:t>1.attēls</w:t>
      </w:r>
      <w:r>
        <w:rPr>
          <w:rFonts w:ascii="Times New Roman" w:hAnsi="Times New Roman" w:cs="Times New Roman"/>
          <w:i/>
          <w:sz w:val="24"/>
          <w:szCs w:val="24"/>
        </w:rPr>
        <w:t>.</w:t>
      </w:r>
      <w:r w:rsidRPr="00985A5C">
        <w:rPr>
          <w:rFonts w:ascii="Times New Roman" w:hAnsi="Times New Roman" w:cs="Times New Roman"/>
          <w:i/>
          <w:sz w:val="24"/>
          <w:szCs w:val="24"/>
        </w:rPr>
        <w:t xml:space="preserve"> Pamatbudžeta ieņēmumu struktūra </w:t>
      </w:r>
    </w:p>
    <w:p w:rsidR="00B403E9" w:rsidRPr="009B21DE" w:rsidRDefault="00B403E9" w:rsidP="00B403E9">
      <w:pPr>
        <w:jc w:val="both"/>
        <w:rPr>
          <w:rFonts w:ascii="Times New Roman" w:hAnsi="Times New Roman" w:cs="Times New Roman"/>
          <w:sz w:val="24"/>
          <w:szCs w:val="24"/>
        </w:rPr>
      </w:pPr>
      <w:r w:rsidRPr="009B21DE">
        <w:rPr>
          <w:rFonts w:ascii="Times New Roman" w:hAnsi="Times New Roman" w:cs="Times New Roman"/>
          <w:noProof/>
          <w:sz w:val="24"/>
          <w:szCs w:val="24"/>
          <w:lang w:eastAsia="lv-LV"/>
        </w:rPr>
        <w:drawing>
          <wp:inline distT="0" distB="0" distL="0" distR="0" wp14:anchorId="39DE825F" wp14:editId="283C518D">
            <wp:extent cx="6019800" cy="2724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403E9" w:rsidRPr="009B21DE" w:rsidRDefault="00B403E9" w:rsidP="00B403E9">
      <w:pPr>
        <w:spacing w:after="0"/>
        <w:jc w:val="both"/>
        <w:rPr>
          <w:rFonts w:ascii="Times New Roman" w:hAnsi="Times New Roman" w:cs="Times New Roman"/>
          <w:b/>
          <w:sz w:val="24"/>
          <w:szCs w:val="24"/>
        </w:rPr>
      </w:pPr>
      <w:r w:rsidRPr="009B21DE">
        <w:rPr>
          <w:rFonts w:ascii="Times New Roman" w:hAnsi="Times New Roman" w:cs="Times New Roman"/>
          <w:b/>
          <w:sz w:val="24"/>
          <w:szCs w:val="24"/>
        </w:rPr>
        <w:t>2. Izdevumi</w:t>
      </w:r>
    </w:p>
    <w:p w:rsidR="00B403E9" w:rsidRPr="009B21DE" w:rsidRDefault="00B403E9" w:rsidP="00B403E9">
      <w:pPr>
        <w:jc w:val="both"/>
        <w:rPr>
          <w:rFonts w:ascii="Times New Roman" w:hAnsi="Times New Roman" w:cs="Times New Roman"/>
          <w:sz w:val="24"/>
          <w:szCs w:val="24"/>
        </w:rPr>
      </w:pPr>
      <w:r>
        <w:rPr>
          <w:rFonts w:ascii="Times New Roman" w:hAnsi="Times New Roman" w:cs="Times New Roman"/>
          <w:sz w:val="24"/>
          <w:szCs w:val="24"/>
        </w:rPr>
        <w:t xml:space="preserve">          </w:t>
      </w:r>
      <w:r w:rsidRPr="009B21DE">
        <w:rPr>
          <w:rFonts w:ascii="Times New Roman" w:hAnsi="Times New Roman" w:cs="Times New Roman"/>
          <w:sz w:val="24"/>
          <w:szCs w:val="24"/>
        </w:rPr>
        <w:t>Tukuma</w:t>
      </w:r>
      <w:r>
        <w:rPr>
          <w:rFonts w:ascii="Times New Roman" w:hAnsi="Times New Roman" w:cs="Times New Roman"/>
          <w:sz w:val="24"/>
          <w:szCs w:val="24"/>
        </w:rPr>
        <w:t xml:space="preserve"> novada pašvaldības 2016</w:t>
      </w:r>
      <w:r w:rsidRPr="009B21DE">
        <w:rPr>
          <w:rFonts w:ascii="Times New Roman" w:hAnsi="Times New Roman" w:cs="Times New Roman"/>
          <w:sz w:val="24"/>
          <w:szCs w:val="24"/>
        </w:rPr>
        <w:t xml:space="preserve">. gada pamatbudžeta kopējie izdevumi ir plānoti </w:t>
      </w:r>
      <w:r>
        <w:rPr>
          <w:rFonts w:ascii="Times New Roman" w:hAnsi="Times New Roman" w:cs="Times New Roman"/>
          <w:sz w:val="24"/>
          <w:szCs w:val="24"/>
        </w:rPr>
        <w:t>29 385 839</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i/>
          <w:sz w:val="24"/>
          <w:szCs w:val="24"/>
        </w:rPr>
        <w:t xml:space="preserve">. </w:t>
      </w:r>
      <w:r>
        <w:rPr>
          <w:rFonts w:ascii="Times New Roman" w:hAnsi="Times New Roman" w:cs="Times New Roman"/>
          <w:sz w:val="24"/>
          <w:szCs w:val="24"/>
        </w:rPr>
        <w:t>Salīdzinot</w:t>
      </w:r>
      <w:r w:rsidRPr="009B21DE">
        <w:rPr>
          <w:rFonts w:ascii="Times New Roman" w:hAnsi="Times New Roman" w:cs="Times New Roman"/>
          <w:sz w:val="24"/>
          <w:szCs w:val="24"/>
        </w:rPr>
        <w:t xml:space="preserve"> ar </w:t>
      </w:r>
      <w:proofErr w:type="gramStart"/>
      <w:r>
        <w:rPr>
          <w:rFonts w:ascii="Times New Roman" w:hAnsi="Times New Roman" w:cs="Times New Roman"/>
          <w:sz w:val="24"/>
          <w:szCs w:val="24"/>
        </w:rPr>
        <w:t>2015.gadu</w:t>
      </w:r>
      <w:proofErr w:type="gramEnd"/>
      <w:r>
        <w:rPr>
          <w:rFonts w:ascii="Times New Roman" w:hAnsi="Times New Roman" w:cs="Times New Roman"/>
          <w:sz w:val="24"/>
          <w:szCs w:val="24"/>
        </w:rPr>
        <w:t>, samazinājums ir</w:t>
      </w:r>
      <w:r w:rsidRPr="009B21DE">
        <w:rPr>
          <w:rFonts w:ascii="Times New Roman" w:hAnsi="Times New Roman" w:cs="Times New Roman"/>
          <w:sz w:val="24"/>
          <w:szCs w:val="24"/>
        </w:rPr>
        <w:t xml:space="preserve"> </w:t>
      </w:r>
      <w:r>
        <w:rPr>
          <w:rFonts w:ascii="Times New Roman" w:hAnsi="Times New Roman" w:cs="Times New Roman"/>
          <w:sz w:val="24"/>
          <w:szCs w:val="24"/>
        </w:rPr>
        <w:t>437 332</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Visi pašvaldības plānotie izdevumi pēc savas ekonomiskās būtības iedalīti deviņās funkcionālajās kategorijās, to sadalījums </w:t>
      </w:r>
      <w:r>
        <w:rPr>
          <w:rFonts w:ascii="Times New Roman" w:hAnsi="Times New Roman" w:cs="Times New Roman"/>
          <w:sz w:val="24"/>
          <w:szCs w:val="24"/>
        </w:rPr>
        <w:t>redzams 2.attēlā</w:t>
      </w:r>
      <w:r w:rsidRPr="009B21DE">
        <w:rPr>
          <w:rFonts w:ascii="Times New Roman" w:hAnsi="Times New Roman" w:cs="Times New Roman"/>
          <w:sz w:val="24"/>
          <w:szCs w:val="24"/>
        </w:rPr>
        <w:t>. Lielākais izdevumu īpatsvars b</w:t>
      </w:r>
      <w:r>
        <w:rPr>
          <w:rFonts w:ascii="Times New Roman" w:hAnsi="Times New Roman" w:cs="Times New Roman"/>
          <w:sz w:val="24"/>
          <w:szCs w:val="24"/>
        </w:rPr>
        <w:t>udžetā ir atbalsts izglītībai (53%), kultūrai un sportam (13</w:t>
      </w:r>
      <w:r w:rsidRPr="009B21DE">
        <w:rPr>
          <w:rFonts w:ascii="Times New Roman" w:hAnsi="Times New Roman" w:cs="Times New Roman"/>
          <w:sz w:val="24"/>
          <w:szCs w:val="24"/>
        </w:rPr>
        <w:t>%</w:t>
      </w:r>
      <w:r>
        <w:rPr>
          <w:rFonts w:ascii="Times New Roman" w:hAnsi="Times New Roman" w:cs="Times New Roman"/>
          <w:sz w:val="24"/>
          <w:szCs w:val="24"/>
        </w:rPr>
        <w:t>)</w:t>
      </w:r>
      <w:r w:rsidRPr="009B21DE">
        <w:rPr>
          <w:rFonts w:ascii="Times New Roman" w:hAnsi="Times New Roman" w:cs="Times New Roman"/>
          <w:sz w:val="24"/>
          <w:szCs w:val="24"/>
        </w:rPr>
        <w:t xml:space="preserve"> un sociālajai palīdzībai un </w:t>
      </w:r>
      <w:r>
        <w:rPr>
          <w:rFonts w:ascii="Times New Roman" w:hAnsi="Times New Roman" w:cs="Times New Roman"/>
          <w:sz w:val="24"/>
          <w:szCs w:val="24"/>
        </w:rPr>
        <w:t>pakalpojumiem (9</w:t>
      </w:r>
      <w:r w:rsidRPr="009B21DE">
        <w:rPr>
          <w:rFonts w:ascii="Times New Roman" w:hAnsi="Times New Roman" w:cs="Times New Roman"/>
          <w:sz w:val="24"/>
          <w:szCs w:val="24"/>
        </w:rPr>
        <w:t>%</w:t>
      </w:r>
      <w:r>
        <w:rPr>
          <w:rFonts w:ascii="Times New Roman" w:hAnsi="Times New Roman" w:cs="Times New Roman"/>
          <w:sz w:val="24"/>
          <w:szCs w:val="24"/>
        </w:rPr>
        <w:t>)</w:t>
      </w:r>
      <w:r w:rsidRPr="009B21DE">
        <w:rPr>
          <w:rFonts w:ascii="Times New Roman" w:hAnsi="Times New Roman" w:cs="Times New Roman"/>
          <w:sz w:val="24"/>
          <w:szCs w:val="24"/>
        </w:rPr>
        <w:t xml:space="preserve">. Visām pašvaldības iestādēm, </w:t>
      </w:r>
      <w:r>
        <w:rPr>
          <w:rFonts w:ascii="Times New Roman" w:hAnsi="Times New Roman" w:cs="Times New Roman"/>
          <w:sz w:val="24"/>
          <w:szCs w:val="24"/>
        </w:rPr>
        <w:t>plānojot 2016</w:t>
      </w:r>
      <w:r w:rsidRPr="009B21DE">
        <w:rPr>
          <w:rFonts w:ascii="Times New Roman" w:hAnsi="Times New Roman" w:cs="Times New Roman"/>
          <w:sz w:val="24"/>
          <w:szCs w:val="24"/>
        </w:rPr>
        <w:t>. gada izdevumus, bija jāievēro vienādi nosac</w:t>
      </w:r>
      <w:r>
        <w:rPr>
          <w:rFonts w:ascii="Times New Roman" w:hAnsi="Times New Roman" w:cs="Times New Roman"/>
          <w:sz w:val="24"/>
          <w:szCs w:val="24"/>
        </w:rPr>
        <w:t>ījumi – budžeta izdevumi kā 2015</w:t>
      </w:r>
      <w:r w:rsidRPr="009B21DE">
        <w:rPr>
          <w:rFonts w:ascii="Times New Roman" w:hAnsi="Times New Roman" w:cs="Times New Roman"/>
          <w:sz w:val="24"/>
          <w:szCs w:val="24"/>
        </w:rPr>
        <w:t>. gada sākotnējais plāns ar plānoto izdevumu pieaugumu līdz 5%, tam jābūt pamatotam ar skaitļiem (atvērta jauna iestāde, mainījušies tarifi k</w:t>
      </w:r>
      <w:r>
        <w:rPr>
          <w:rFonts w:ascii="Times New Roman" w:hAnsi="Times New Roman" w:cs="Times New Roman"/>
          <w:sz w:val="24"/>
          <w:szCs w:val="24"/>
        </w:rPr>
        <w:t>omunālajiem pakalpojumiem u.c.). Plānotie kapitālie remonti</w:t>
      </w:r>
      <w:r w:rsidRPr="009B21DE">
        <w:rPr>
          <w:rFonts w:ascii="Times New Roman" w:hAnsi="Times New Roman" w:cs="Times New Roman"/>
          <w:sz w:val="24"/>
          <w:szCs w:val="24"/>
        </w:rPr>
        <w:t xml:space="preserve"> un pamatlīdzekļu iegāde netiek plānota, bet tiek iekļauta prioritāšu sarakstā. Izņemot gadījumus, ja ir avārijas situācija, un var tikt traucēta iestādes darbība.</w:t>
      </w:r>
      <w:r>
        <w:rPr>
          <w:rFonts w:ascii="Times New Roman" w:hAnsi="Times New Roman" w:cs="Times New Roman"/>
          <w:sz w:val="24"/>
          <w:szCs w:val="24"/>
        </w:rPr>
        <w:t xml:space="preserve"> Tāpat otro</w:t>
      </w:r>
      <w:r w:rsidRPr="009B21DE">
        <w:rPr>
          <w:rFonts w:ascii="Times New Roman" w:hAnsi="Times New Roman" w:cs="Times New Roman"/>
          <w:sz w:val="24"/>
          <w:szCs w:val="24"/>
        </w:rPr>
        <w:t xml:space="preserve"> gadu visām iestādēm tika noteikti vienādi budžeta sagatavošanas kritēriji un aprēķini, lai būtu vienlīdzīgi budžeta bāzes dati.</w:t>
      </w:r>
    </w:p>
    <w:p w:rsidR="00B403E9" w:rsidRPr="00ED6465" w:rsidRDefault="00B403E9" w:rsidP="00B403E9">
      <w:pPr>
        <w:jc w:val="both"/>
        <w:rPr>
          <w:rFonts w:ascii="Times New Roman" w:hAnsi="Times New Roman" w:cs="Times New Roman"/>
          <w:i/>
          <w:sz w:val="24"/>
          <w:szCs w:val="24"/>
        </w:rPr>
      </w:pPr>
      <w:r w:rsidRPr="00ED6465">
        <w:rPr>
          <w:rFonts w:ascii="Times New Roman" w:hAnsi="Times New Roman" w:cs="Times New Roman"/>
          <w:i/>
          <w:sz w:val="24"/>
          <w:szCs w:val="24"/>
        </w:rPr>
        <w:t>2.attēls</w:t>
      </w:r>
      <w:r>
        <w:rPr>
          <w:rFonts w:ascii="Times New Roman" w:hAnsi="Times New Roman" w:cs="Times New Roman"/>
          <w:i/>
          <w:sz w:val="24"/>
          <w:szCs w:val="24"/>
        </w:rPr>
        <w:t>.</w:t>
      </w:r>
      <w:r w:rsidRPr="00ED6465">
        <w:rPr>
          <w:rFonts w:ascii="Times New Roman" w:hAnsi="Times New Roman" w:cs="Times New Roman"/>
          <w:i/>
          <w:sz w:val="24"/>
          <w:szCs w:val="24"/>
        </w:rPr>
        <w:t xml:space="preserve"> Pamatbudžeta izdevumu struktūra </w:t>
      </w:r>
    </w:p>
    <w:p w:rsidR="00B403E9" w:rsidRPr="009B21DE" w:rsidRDefault="00B403E9" w:rsidP="00B403E9">
      <w:pPr>
        <w:jc w:val="both"/>
        <w:rPr>
          <w:rFonts w:ascii="Times New Roman" w:hAnsi="Times New Roman" w:cs="Times New Roman"/>
          <w:sz w:val="24"/>
          <w:szCs w:val="24"/>
        </w:rPr>
      </w:pPr>
      <w:r w:rsidRPr="009B21DE">
        <w:rPr>
          <w:rFonts w:ascii="Times New Roman" w:hAnsi="Times New Roman" w:cs="Times New Roman"/>
          <w:noProof/>
          <w:sz w:val="24"/>
          <w:szCs w:val="24"/>
          <w:lang w:eastAsia="lv-LV"/>
        </w:rPr>
        <w:lastRenderedPageBreak/>
        <w:drawing>
          <wp:inline distT="0" distB="0" distL="0" distR="0" wp14:anchorId="2D115C4D" wp14:editId="0E0EB3CB">
            <wp:extent cx="5600700" cy="3895725"/>
            <wp:effectExtent l="0" t="0" r="571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403E9" w:rsidRPr="009B21DE" w:rsidRDefault="00B403E9" w:rsidP="00B403E9">
      <w:pPr>
        <w:jc w:val="both"/>
        <w:rPr>
          <w:rFonts w:ascii="Times New Roman" w:hAnsi="Times New Roman" w:cs="Times New Roman"/>
          <w:sz w:val="24"/>
          <w:szCs w:val="24"/>
        </w:rPr>
      </w:pPr>
    </w:p>
    <w:p w:rsidR="00B403E9" w:rsidRDefault="00B403E9" w:rsidP="00B403E9">
      <w:pPr>
        <w:jc w:val="both"/>
        <w:rPr>
          <w:rFonts w:ascii="Times New Roman" w:hAnsi="Times New Roman" w:cs="Times New Roman"/>
          <w:sz w:val="24"/>
          <w:szCs w:val="24"/>
        </w:rPr>
      </w:pPr>
      <w:r w:rsidRPr="00C40ABB">
        <w:rPr>
          <w:rFonts w:ascii="Times New Roman" w:hAnsi="Times New Roman" w:cs="Times New Roman"/>
          <w:b/>
          <w:sz w:val="24"/>
          <w:szCs w:val="24"/>
        </w:rPr>
        <w:t>2.1.</w:t>
      </w:r>
      <w:r w:rsidRPr="009B21DE">
        <w:rPr>
          <w:rFonts w:ascii="Times New Roman" w:hAnsi="Times New Roman" w:cs="Times New Roman"/>
          <w:sz w:val="24"/>
          <w:szCs w:val="24"/>
        </w:rPr>
        <w:t xml:space="preserve"> </w:t>
      </w:r>
      <w:r w:rsidRPr="005E3877">
        <w:rPr>
          <w:rFonts w:ascii="Times New Roman" w:hAnsi="Times New Roman" w:cs="Times New Roman"/>
          <w:b/>
          <w:sz w:val="24"/>
          <w:szCs w:val="24"/>
        </w:rPr>
        <w:t>Pārvaldes izdevumi</w:t>
      </w:r>
      <w:r w:rsidRPr="009B21DE">
        <w:rPr>
          <w:rFonts w:ascii="Times New Roman" w:hAnsi="Times New Roman" w:cs="Times New Roman"/>
          <w:sz w:val="24"/>
          <w:szCs w:val="24"/>
        </w:rPr>
        <w:t>. Saskaņā ar LR likumu</w:t>
      </w:r>
      <w:r>
        <w:rPr>
          <w:rFonts w:ascii="Times New Roman" w:hAnsi="Times New Roman" w:cs="Times New Roman"/>
          <w:sz w:val="24"/>
          <w:szCs w:val="24"/>
        </w:rPr>
        <w:t xml:space="preserve"> „Par pašvaldībām” un atbilstīgi</w:t>
      </w:r>
      <w:r w:rsidRPr="009B21DE">
        <w:rPr>
          <w:rFonts w:ascii="Times New Roman" w:hAnsi="Times New Roman" w:cs="Times New Roman"/>
          <w:sz w:val="24"/>
          <w:szCs w:val="24"/>
        </w:rPr>
        <w:t xml:space="preserve"> Tukuma novada Domes nolikumam, pašvaldības iedzīvotāju pārstāvību nodrošina pašvaldības lēmējorgāns – dome, ko veido ievēlēti deputāti</w:t>
      </w:r>
      <w:r>
        <w:rPr>
          <w:rFonts w:ascii="Times New Roman" w:hAnsi="Times New Roman" w:cs="Times New Roman"/>
          <w:sz w:val="24"/>
          <w:szCs w:val="24"/>
        </w:rPr>
        <w:t>. S</w:t>
      </w:r>
      <w:r w:rsidRPr="009B21DE">
        <w:rPr>
          <w:rFonts w:ascii="Times New Roman" w:hAnsi="Times New Roman" w:cs="Times New Roman"/>
          <w:sz w:val="24"/>
          <w:szCs w:val="24"/>
        </w:rPr>
        <w:t>avukārt domes pieņemto lēmumu izpildi, kā arī tās darba organizatorisko un tehnisko apkalpošanu nodrošina pašvaldības admin</w:t>
      </w:r>
      <w:r>
        <w:rPr>
          <w:rFonts w:ascii="Times New Roman" w:hAnsi="Times New Roman" w:cs="Times New Roman"/>
          <w:sz w:val="24"/>
          <w:szCs w:val="24"/>
        </w:rPr>
        <w:t>istrācija. Kopējie izdevumi 2016</w:t>
      </w:r>
      <w:r w:rsidRPr="009B21DE">
        <w:rPr>
          <w:rFonts w:ascii="Times New Roman" w:hAnsi="Times New Roman" w:cs="Times New Roman"/>
          <w:sz w:val="24"/>
          <w:szCs w:val="24"/>
        </w:rPr>
        <w:t xml:space="preserve">. gadā ir </w:t>
      </w:r>
      <w:r>
        <w:rPr>
          <w:rFonts w:ascii="Times New Roman" w:hAnsi="Times New Roman" w:cs="Times New Roman"/>
          <w:sz w:val="24"/>
          <w:szCs w:val="24"/>
        </w:rPr>
        <w:t xml:space="preserve">2 339 687 </w:t>
      </w:r>
      <w:proofErr w:type="spellStart"/>
      <w:r w:rsidRPr="00800251">
        <w:rPr>
          <w:rFonts w:ascii="Times New Roman" w:hAnsi="Times New Roman" w:cs="Times New Roman"/>
          <w:i/>
          <w:sz w:val="24"/>
          <w:szCs w:val="24"/>
        </w:rPr>
        <w:t>euro</w:t>
      </w:r>
      <w:proofErr w:type="spellEnd"/>
      <w:r w:rsidRPr="009B21DE">
        <w:rPr>
          <w:rFonts w:ascii="Times New Roman" w:hAnsi="Times New Roman" w:cs="Times New Roman"/>
          <w:sz w:val="24"/>
          <w:szCs w:val="24"/>
        </w:rPr>
        <w:t>, kas ir par</w:t>
      </w:r>
      <w:r>
        <w:rPr>
          <w:rFonts w:ascii="Times New Roman" w:hAnsi="Times New Roman" w:cs="Times New Roman"/>
          <w:sz w:val="24"/>
          <w:szCs w:val="24"/>
        </w:rPr>
        <w:t xml:space="preserve"> 11</w:t>
      </w:r>
      <w:r w:rsidRPr="009B21DE">
        <w:rPr>
          <w:rFonts w:ascii="Times New Roman" w:hAnsi="Times New Roman" w:cs="Times New Roman"/>
          <w:sz w:val="24"/>
          <w:szCs w:val="24"/>
        </w:rPr>
        <w:t>%</w:t>
      </w:r>
      <w:r>
        <w:rPr>
          <w:rFonts w:ascii="Times New Roman" w:hAnsi="Times New Roman" w:cs="Times New Roman"/>
          <w:sz w:val="24"/>
          <w:szCs w:val="24"/>
        </w:rPr>
        <w:t xml:space="preserve"> (277 086 </w:t>
      </w:r>
      <w:proofErr w:type="spellStart"/>
      <w:r w:rsidRPr="008254A8">
        <w:rPr>
          <w:rFonts w:ascii="Times New Roman" w:hAnsi="Times New Roman" w:cs="Times New Roman"/>
          <w:i/>
          <w:sz w:val="24"/>
          <w:szCs w:val="24"/>
        </w:rPr>
        <w:t>euro</w:t>
      </w:r>
      <w:proofErr w:type="spellEnd"/>
      <w:r>
        <w:rPr>
          <w:rFonts w:ascii="Times New Roman" w:hAnsi="Times New Roman" w:cs="Times New Roman"/>
          <w:sz w:val="24"/>
          <w:szCs w:val="24"/>
        </w:rPr>
        <w:t>) mazāk nekā 2015. gadā</w:t>
      </w:r>
      <w:r w:rsidRPr="009B21DE">
        <w:rPr>
          <w:rFonts w:ascii="Times New Roman" w:hAnsi="Times New Roman" w:cs="Times New Roman"/>
          <w:sz w:val="24"/>
          <w:szCs w:val="24"/>
        </w:rPr>
        <w:t xml:space="preserve">. </w:t>
      </w:r>
    </w:p>
    <w:p w:rsidR="00B403E9" w:rsidRPr="009B21DE" w:rsidRDefault="00B403E9" w:rsidP="00B403E9">
      <w:pPr>
        <w:jc w:val="both"/>
        <w:rPr>
          <w:rFonts w:ascii="Times New Roman" w:hAnsi="Times New Roman" w:cs="Times New Roman"/>
          <w:sz w:val="24"/>
          <w:szCs w:val="24"/>
        </w:rPr>
      </w:pPr>
      <w:r w:rsidRPr="001F0425">
        <w:rPr>
          <w:rFonts w:ascii="Times New Roman" w:hAnsi="Times New Roman" w:cs="Times New Roman"/>
          <w:b/>
          <w:sz w:val="24"/>
          <w:szCs w:val="24"/>
        </w:rPr>
        <w:t>2.2.</w:t>
      </w:r>
      <w:r>
        <w:rPr>
          <w:rFonts w:ascii="Times New Roman" w:hAnsi="Times New Roman" w:cs="Times New Roman"/>
          <w:sz w:val="24"/>
          <w:szCs w:val="24"/>
        </w:rPr>
        <w:t xml:space="preserve"> </w:t>
      </w:r>
      <w:r w:rsidRPr="005E3877">
        <w:rPr>
          <w:rFonts w:ascii="Times New Roman" w:hAnsi="Times New Roman" w:cs="Times New Roman"/>
          <w:b/>
          <w:sz w:val="24"/>
          <w:szCs w:val="24"/>
        </w:rPr>
        <w:t>Parāda maksājumi</w:t>
      </w:r>
      <w:r>
        <w:rPr>
          <w:rFonts w:ascii="Times New Roman" w:hAnsi="Times New Roman" w:cs="Times New Roman"/>
          <w:sz w:val="24"/>
          <w:szCs w:val="24"/>
        </w:rPr>
        <w:t xml:space="preserve"> (aizņēmumu</w:t>
      </w:r>
      <w:r w:rsidRPr="009B21DE">
        <w:rPr>
          <w:rFonts w:ascii="Times New Roman" w:hAnsi="Times New Roman" w:cs="Times New Roman"/>
          <w:sz w:val="24"/>
          <w:szCs w:val="24"/>
        </w:rPr>
        <w:t xml:space="preserve"> apkalpošana un procentu izdevumi) ir plānoti </w:t>
      </w:r>
      <w:r>
        <w:rPr>
          <w:rFonts w:ascii="Times New Roman" w:hAnsi="Times New Roman" w:cs="Times New Roman"/>
          <w:sz w:val="24"/>
          <w:szCs w:val="24"/>
        </w:rPr>
        <w:t>104 032</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xml:space="preserve">, kas salīdzinājumā ar </w:t>
      </w:r>
      <w:proofErr w:type="gramStart"/>
      <w:r>
        <w:rPr>
          <w:rFonts w:ascii="Times New Roman" w:hAnsi="Times New Roman" w:cs="Times New Roman"/>
          <w:sz w:val="24"/>
          <w:szCs w:val="24"/>
        </w:rPr>
        <w:t>2015</w:t>
      </w:r>
      <w:r w:rsidRPr="009B21DE">
        <w:rPr>
          <w:rFonts w:ascii="Times New Roman" w:hAnsi="Times New Roman" w:cs="Times New Roman"/>
          <w:sz w:val="24"/>
          <w:szCs w:val="24"/>
        </w:rPr>
        <w:t>.</w:t>
      </w:r>
      <w:r>
        <w:rPr>
          <w:rFonts w:ascii="Times New Roman" w:hAnsi="Times New Roman" w:cs="Times New Roman"/>
          <w:sz w:val="24"/>
          <w:szCs w:val="24"/>
        </w:rPr>
        <w:t>gadu</w:t>
      </w:r>
      <w:proofErr w:type="gramEnd"/>
      <w:r>
        <w:rPr>
          <w:rFonts w:ascii="Times New Roman" w:hAnsi="Times New Roman" w:cs="Times New Roman"/>
          <w:sz w:val="24"/>
          <w:szCs w:val="24"/>
        </w:rPr>
        <w:t xml:space="preserve"> ir par 84 159</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xml:space="preserve"> mazāk, jo ir samazinājušās procentu likmes un aizņēmumu pamatsummas, jo saņemta Eiropas Savienības fondu finansējuma atmaksa aizņēmuma segšanai. </w:t>
      </w:r>
    </w:p>
    <w:p w:rsidR="00B403E9" w:rsidRPr="009B21DE" w:rsidRDefault="00B403E9" w:rsidP="00B403E9">
      <w:pPr>
        <w:jc w:val="both"/>
        <w:rPr>
          <w:rFonts w:ascii="Times New Roman" w:hAnsi="Times New Roman" w:cs="Times New Roman"/>
          <w:sz w:val="24"/>
          <w:szCs w:val="24"/>
        </w:rPr>
      </w:pPr>
      <w:r w:rsidRPr="008F67AA">
        <w:rPr>
          <w:rFonts w:ascii="Times New Roman" w:hAnsi="Times New Roman" w:cs="Times New Roman"/>
          <w:b/>
          <w:sz w:val="24"/>
          <w:szCs w:val="24"/>
        </w:rPr>
        <w:t>2.3.</w:t>
      </w:r>
      <w:r w:rsidRPr="009B21DE">
        <w:rPr>
          <w:rFonts w:ascii="Times New Roman" w:hAnsi="Times New Roman" w:cs="Times New Roman"/>
          <w:sz w:val="24"/>
          <w:szCs w:val="24"/>
        </w:rPr>
        <w:t xml:space="preserve"> </w:t>
      </w:r>
      <w:r w:rsidRPr="005E3877">
        <w:rPr>
          <w:rFonts w:ascii="Times New Roman" w:hAnsi="Times New Roman" w:cs="Times New Roman"/>
          <w:b/>
          <w:sz w:val="24"/>
          <w:szCs w:val="24"/>
        </w:rPr>
        <w:t>Sabiedriskā kārtība un drošība</w:t>
      </w:r>
      <w:r>
        <w:rPr>
          <w:rFonts w:ascii="Times New Roman" w:hAnsi="Times New Roman" w:cs="Times New Roman"/>
          <w:sz w:val="24"/>
          <w:szCs w:val="24"/>
        </w:rPr>
        <w:t>. Atbilstīgi</w:t>
      </w:r>
      <w:r w:rsidRPr="009B21DE">
        <w:rPr>
          <w:rFonts w:ascii="Times New Roman" w:hAnsi="Times New Roman" w:cs="Times New Roman"/>
          <w:sz w:val="24"/>
          <w:szCs w:val="24"/>
        </w:rPr>
        <w:t xml:space="preserve"> iedalījumam funkcionālajās kategorijās šos izdevumus veido pašvaldības policijas uzturēšana, videonovērošanas sistēmas apkalpošana un sabiedriskās pludmales </w:t>
      </w:r>
      <w:proofErr w:type="spellStart"/>
      <w:r w:rsidRPr="008F67AA">
        <w:rPr>
          <w:rFonts w:ascii="Times New Roman" w:hAnsi="Times New Roman" w:cs="Times New Roman"/>
          <w:i/>
          <w:sz w:val="24"/>
          <w:szCs w:val="24"/>
        </w:rPr>
        <w:t>Melnezers</w:t>
      </w:r>
      <w:proofErr w:type="spellEnd"/>
      <w:r w:rsidRPr="009B21DE">
        <w:rPr>
          <w:rFonts w:ascii="Times New Roman" w:hAnsi="Times New Roman" w:cs="Times New Roman"/>
          <w:sz w:val="24"/>
          <w:szCs w:val="24"/>
        </w:rPr>
        <w:t xml:space="preserve"> u</w:t>
      </w:r>
      <w:r>
        <w:rPr>
          <w:rFonts w:ascii="Times New Roman" w:hAnsi="Times New Roman" w:cs="Times New Roman"/>
          <w:sz w:val="24"/>
          <w:szCs w:val="24"/>
        </w:rPr>
        <w:t xml:space="preserve">zturēšana. Salīdzinot ar </w:t>
      </w:r>
      <w:proofErr w:type="gramStart"/>
      <w:r>
        <w:rPr>
          <w:rFonts w:ascii="Times New Roman" w:hAnsi="Times New Roman" w:cs="Times New Roman"/>
          <w:sz w:val="24"/>
          <w:szCs w:val="24"/>
        </w:rPr>
        <w:t>2015</w:t>
      </w:r>
      <w:r w:rsidRPr="009B21DE">
        <w:rPr>
          <w:rFonts w:ascii="Times New Roman" w:hAnsi="Times New Roman" w:cs="Times New Roman"/>
          <w:sz w:val="24"/>
          <w:szCs w:val="24"/>
        </w:rPr>
        <w:t>.</w:t>
      </w:r>
      <w:r>
        <w:rPr>
          <w:rFonts w:ascii="Times New Roman" w:hAnsi="Times New Roman" w:cs="Times New Roman"/>
          <w:sz w:val="24"/>
          <w:szCs w:val="24"/>
        </w:rPr>
        <w:t>g</w:t>
      </w:r>
      <w:r w:rsidRPr="009B21DE">
        <w:rPr>
          <w:rFonts w:ascii="Times New Roman" w:hAnsi="Times New Roman" w:cs="Times New Roman"/>
          <w:sz w:val="24"/>
          <w:szCs w:val="24"/>
        </w:rPr>
        <w:t>adu</w:t>
      </w:r>
      <w:proofErr w:type="gramEnd"/>
      <w:r>
        <w:rPr>
          <w:rFonts w:ascii="Times New Roman" w:hAnsi="Times New Roman" w:cs="Times New Roman"/>
          <w:sz w:val="24"/>
          <w:szCs w:val="24"/>
        </w:rPr>
        <w:t>,</w:t>
      </w:r>
      <w:r w:rsidRPr="009B21DE">
        <w:rPr>
          <w:rFonts w:ascii="Times New Roman" w:hAnsi="Times New Roman" w:cs="Times New Roman"/>
          <w:sz w:val="24"/>
          <w:szCs w:val="24"/>
        </w:rPr>
        <w:t xml:space="preserve"> i</w:t>
      </w:r>
      <w:r>
        <w:rPr>
          <w:rFonts w:ascii="Times New Roman" w:hAnsi="Times New Roman" w:cs="Times New Roman"/>
          <w:sz w:val="24"/>
          <w:szCs w:val="24"/>
        </w:rPr>
        <w:t>zdevumi ir palielinājušies par 15</w:t>
      </w:r>
      <w:r w:rsidRPr="009B21DE">
        <w:rPr>
          <w:rFonts w:ascii="Times New Roman" w:hAnsi="Times New Roman" w:cs="Times New Roman"/>
          <w:sz w:val="24"/>
          <w:szCs w:val="24"/>
        </w:rPr>
        <w:t>% (</w:t>
      </w:r>
      <w:r>
        <w:rPr>
          <w:rFonts w:ascii="Times New Roman" w:hAnsi="Times New Roman" w:cs="Times New Roman"/>
          <w:sz w:val="24"/>
          <w:szCs w:val="24"/>
        </w:rPr>
        <w:t>59 557</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jo </w:t>
      </w:r>
      <w:r>
        <w:rPr>
          <w:rFonts w:ascii="Times New Roman" w:hAnsi="Times New Roman" w:cs="Times New Roman"/>
          <w:sz w:val="24"/>
          <w:szCs w:val="24"/>
        </w:rPr>
        <w:t>ar 2016. gada 1.februāri novadā darbu sācis Vienotais dispečerdienests ar četriem darbiniekiem.</w:t>
      </w:r>
    </w:p>
    <w:p w:rsidR="00B403E9" w:rsidRDefault="00B403E9" w:rsidP="00B403E9">
      <w:pPr>
        <w:jc w:val="both"/>
        <w:rPr>
          <w:rFonts w:ascii="Times New Roman" w:hAnsi="Times New Roman" w:cs="Times New Roman"/>
          <w:sz w:val="24"/>
          <w:szCs w:val="24"/>
        </w:rPr>
      </w:pPr>
      <w:r w:rsidRPr="008F67AA">
        <w:rPr>
          <w:rFonts w:ascii="Times New Roman" w:hAnsi="Times New Roman" w:cs="Times New Roman"/>
          <w:b/>
          <w:sz w:val="24"/>
          <w:szCs w:val="24"/>
        </w:rPr>
        <w:t>2.4.</w:t>
      </w:r>
      <w:r w:rsidRPr="009B21DE">
        <w:rPr>
          <w:rFonts w:ascii="Times New Roman" w:hAnsi="Times New Roman" w:cs="Times New Roman"/>
          <w:sz w:val="24"/>
          <w:szCs w:val="24"/>
        </w:rPr>
        <w:t xml:space="preserve"> </w:t>
      </w:r>
      <w:r w:rsidRPr="005E3877">
        <w:rPr>
          <w:rFonts w:ascii="Times New Roman" w:hAnsi="Times New Roman" w:cs="Times New Roman"/>
          <w:b/>
          <w:sz w:val="24"/>
          <w:szCs w:val="24"/>
        </w:rPr>
        <w:t>Ekonomiskā darbība</w:t>
      </w:r>
      <w:r w:rsidRPr="009B21DE">
        <w:rPr>
          <w:rFonts w:ascii="Times New Roman" w:hAnsi="Times New Roman" w:cs="Times New Roman"/>
          <w:sz w:val="24"/>
          <w:szCs w:val="24"/>
        </w:rPr>
        <w:t>. Šīs sadaļas izdevumus veido ekonomiskās darbības atbalstam, tūrisma attīstībai novadā (Tūrisma informācijas centrs), pilsētas un novada infrastruktūras sakārtošanai (</w:t>
      </w:r>
      <w:r>
        <w:rPr>
          <w:rFonts w:ascii="Times New Roman" w:hAnsi="Times New Roman" w:cs="Times New Roman"/>
          <w:sz w:val="24"/>
          <w:szCs w:val="24"/>
        </w:rPr>
        <w:t>ielas, ceļi, tilti, veloceliņi), atbalsts uzņēmējdarbības veicināšanai.</w:t>
      </w:r>
      <w:r w:rsidRPr="009B21DE">
        <w:rPr>
          <w:rFonts w:ascii="Times New Roman" w:hAnsi="Times New Roman" w:cs="Times New Roman"/>
          <w:sz w:val="24"/>
          <w:szCs w:val="24"/>
        </w:rPr>
        <w:t xml:space="preserve"> </w:t>
      </w:r>
      <w:r>
        <w:rPr>
          <w:rFonts w:ascii="Times New Roman" w:hAnsi="Times New Roman" w:cs="Times New Roman"/>
          <w:sz w:val="24"/>
          <w:szCs w:val="24"/>
        </w:rPr>
        <w:t xml:space="preserve">Lielākie darbi pilsētā – dzelzceļa stacijas “Tukums 1” stāvlaukuma izbūve un pagastos tehniskā projekta izstrāde ceļu atjaunošanai ar grants segumu. </w:t>
      </w:r>
      <w:r w:rsidRPr="009B21DE">
        <w:rPr>
          <w:rFonts w:ascii="Times New Roman" w:hAnsi="Times New Roman" w:cs="Times New Roman"/>
          <w:sz w:val="24"/>
          <w:szCs w:val="24"/>
        </w:rPr>
        <w:t xml:space="preserve">Plānotie izdevumi </w:t>
      </w:r>
      <w:r>
        <w:rPr>
          <w:rFonts w:ascii="Times New Roman" w:hAnsi="Times New Roman" w:cs="Times New Roman"/>
          <w:sz w:val="24"/>
          <w:szCs w:val="24"/>
        </w:rPr>
        <w:t>ir 1 268 690</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xml:space="preserve">. Salīdzinot ar </w:t>
      </w:r>
      <w:proofErr w:type="gramStart"/>
      <w:r>
        <w:rPr>
          <w:rFonts w:ascii="Times New Roman" w:hAnsi="Times New Roman" w:cs="Times New Roman"/>
          <w:sz w:val="24"/>
          <w:szCs w:val="24"/>
        </w:rPr>
        <w:t>2015.gadu</w:t>
      </w:r>
      <w:proofErr w:type="gramEnd"/>
      <w:r>
        <w:rPr>
          <w:rFonts w:ascii="Times New Roman" w:hAnsi="Times New Roman" w:cs="Times New Roman"/>
          <w:sz w:val="24"/>
          <w:szCs w:val="24"/>
        </w:rPr>
        <w:t xml:space="preserve">, pieaugums ir 28% ( 276 688 </w:t>
      </w:r>
      <w:proofErr w:type="spellStart"/>
      <w:r w:rsidRPr="008A1021">
        <w:rPr>
          <w:rFonts w:ascii="Times New Roman" w:hAnsi="Times New Roman" w:cs="Times New Roman"/>
          <w:i/>
          <w:sz w:val="24"/>
          <w:szCs w:val="24"/>
        </w:rPr>
        <w:t>euro</w:t>
      </w:r>
      <w:proofErr w:type="spellEnd"/>
      <w:r>
        <w:rPr>
          <w:rFonts w:ascii="Times New Roman" w:hAnsi="Times New Roman" w:cs="Times New Roman"/>
          <w:sz w:val="24"/>
          <w:szCs w:val="24"/>
        </w:rPr>
        <w:t xml:space="preserve">). </w:t>
      </w:r>
      <w:r w:rsidRPr="009B21DE">
        <w:rPr>
          <w:rFonts w:ascii="Times New Roman" w:hAnsi="Times New Roman" w:cs="Times New Roman"/>
          <w:sz w:val="24"/>
          <w:szCs w:val="24"/>
        </w:rPr>
        <w:t xml:space="preserve"> </w:t>
      </w:r>
    </w:p>
    <w:p w:rsidR="00B403E9" w:rsidRPr="009B21DE" w:rsidRDefault="00B403E9" w:rsidP="00B403E9">
      <w:pPr>
        <w:jc w:val="both"/>
        <w:rPr>
          <w:rFonts w:ascii="Times New Roman" w:hAnsi="Times New Roman" w:cs="Times New Roman"/>
          <w:sz w:val="24"/>
          <w:szCs w:val="24"/>
        </w:rPr>
      </w:pPr>
      <w:r w:rsidRPr="00393385">
        <w:rPr>
          <w:rFonts w:ascii="Times New Roman" w:hAnsi="Times New Roman" w:cs="Times New Roman"/>
          <w:b/>
          <w:sz w:val="24"/>
          <w:szCs w:val="24"/>
        </w:rPr>
        <w:lastRenderedPageBreak/>
        <w:t>2.5.</w:t>
      </w:r>
      <w:r w:rsidRPr="009B21DE">
        <w:rPr>
          <w:rFonts w:ascii="Times New Roman" w:hAnsi="Times New Roman" w:cs="Times New Roman"/>
          <w:sz w:val="24"/>
          <w:szCs w:val="24"/>
        </w:rPr>
        <w:t xml:space="preserve"> </w:t>
      </w:r>
      <w:r w:rsidRPr="005E3877">
        <w:rPr>
          <w:rFonts w:ascii="Times New Roman" w:hAnsi="Times New Roman" w:cs="Times New Roman"/>
          <w:b/>
          <w:sz w:val="24"/>
          <w:szCs w:val="24"/>
        </w:rPr>
        <w:t>Vides aizsardzība</w:t>
      </w:r>
      <w:r w:rsidRPr="009B21DE">
        <w:rPr>
          <w:rFonts w:ascii="Times New Roman" w:hAnsi="Times New Roman" w:cs="Times New Roman"/>
          <w:sz w:val="24"/>
          <w:szCs w:val="24"/>
        </w:rPr>
        <w:t>. Plānotie līdzekļi</w:t>
      </w:r>
      <w:r>
        <w:rPr>
          <w:rFonts w:ascii="Times New Roman" w:hAnsi="Times New Roman" w:cs="Times New Roman"/>
          <w:sz w:val="24"/>
          <w:szCs w:val="24"/>
        </w:rPr>
        <w:t xml:space="preserve"> ir</w:t>
      </w:r>
      <w:r w:rsidRPr="009B21DE">
        <w:rPr>
          <w:rFonts w:ascii="Times New Roman" w:hAnsi="Times New Roman" w:cs="Times New Roman"/>
          <w:sz w:val="24"/>
          <w:szCs w:val="24"/>
        </w:rPr>
        <w:t xml:space="preserve"> </w:t>
      </w:r>
      <w:r>
        <w:rPr>
          <w:rFonts w:ascii="Times New Roman" w:hAnsi="Times New Roman" w:cs="Times New Roman"/>
          <w:sz w:val="24"/>
          <w:szCs w:val="24"/>
        </w:rPr>
        <w:t>391 880</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xml:space="preserve">. Finansējums paredzēts </w:t>
      </w:r>
      <w:r w:rsidRPr="009B21DE">
        <w:rPr>
          <w:rFonts w:ascii="Times New Roman" w:hAnsi="Times New Roman" w:cs="Times New Roman"/>
          <w:sz w:val="24"/>
          <w:szCs w:val="24"/>
        </w:rPr>
        <w:t>ielu, laukumu, parku un citu teritoriju tīrīšanai, atkritumu savākšana</w:t>
      </w:r>
      <w:r>
        <w:rPr>
          <w:rFonts w:ascii="Times New Roman" w:hAnsi="Times New Roman" w:cs="Times New Roman"/>
          <w:sz w:val="24"/>
          <w:szCs w:val="24"/>
        </w:rPr>
        <w:t xml:space="preserve">i, notekūdeņu apsaimniekošanai. </w:t>
      </w:r>
    </w:p>
    <w:p w:rsidR="00B403E9" w:rsidRPr="00D94737" w:rsidRDefault="00B403E9" w:rsidP="00B403E9">
      <w:pPr>
        <w:jc w:val="both"/>
        <w:rPr>
          <w:rFonts w:ascii="Times New Roman" w:hAnsi="Times New Roman" w:cs="Times New Roman"/>
          <w:sz w:val="24"/>
          <w:szCs w:val="24"/>
        </w:rPr>
      </w:pPr>
      <w:r w:rsidRPr="00393385">
        <w:rPr>
          <w:rFonts w:ascii="Times New Roman" w:hAnsi="Times New Roman" w:cs="Times New Roman"/>
          <w:b/>
          <w:sz w:val="24"/>
          <w:szCs w:val="24"/>
        </w:rPr>
        <w:t>2.6.</w:t>
      </w:r>
      <w:r w:rsidRPr="009B21DE">
        <w:rPr>
          <w:rFonts w:ascii="Times New Roman" w:hAnsi="Times New Roman" w:cs="Times New Roman"/>
          <w:sz w:val="24"/>
          <w:szCs w:val="24"/>
        </w:rPr>
        <w:t xml:space="preserve"> </w:t>
      </w:r>
      <w:r w:rsidRPr="005E3877">
        <w:rPr>
          <w:rFonts w:ascii="Times New Roman" w:hAnsi="Times New Roman" w:cs="Times New Roman"/>
          <w:b/>
          <w:sz w:val="24"/>
          <w:szCs w:val="24"/>
        </w:rPr>
        <w:t>Pašvaldību teritoriju un mājokļu apsaimniekošanai</w:t>
      </w:r>
      <w:r w:rsidRPr="009B21DE">
        <w:rPr>
          <w:rFonts w:ascii="Times New Roman" w:hAnsi="Times New Roman" w:cs="Times New Roman"/>
          <w:sz w:val="24"/>
          <w:szCs w:val="24"/>
        </w:rPr>
        <w:t xml:space="preserve"> plānoti līdzekļi </w:t>
      </w:r>
      <w:r>
        <w:rPr>
          <w:rFonts w:ascii="Times New Roman" w:hAnsi="Times New Roman" w:cs="Times New Roman"/>
          <w:sz w:val="24"/>
          <w:szCs w:val="24"/>
        </w:rPr>
        <w:t>3 099 138</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xml:space="preserve"> apmērā</w:t>
      </w:r>
      <w:r w:rsidRPr="009B21DE">
        <w:rPr>
          <w:rFonts w:ascii="Times New Roman" w:hAnsi="Times New Roman" w:cs="Times New Roman"/>
          <w:sz w:val="24"/>
          <w:szCs w:val="24"/>
        </w:rPr>
        <w:t xml:space="preserve">. Šīs sadaļas izdevumi ir dzīvojamo un nedzīvojamo ēku apsaimniekošana un uzturēšana, apgaismošanas izdevumi, teritorijas uzturēšanas izdevumi (stādījumi, ziedi, pilsētas un pagastu dekorēšana, kāpņu, soliņu remonti utt.). </w:t>
      </w:r>
      <w:r>
        <w:rPr>
          <w:rFonts w:ascii="Times New Roman" w:hAnsi="Times New Roman" w:cs="Times New Roman"/>
          <w:sz w:val="24"/>
          <w:szCs w:val="24"/>
        </w:rPr>
        <w:t xml:space="preserve">Nozīmīgākais projekts ir Lielās ielas parka rekonstrukcijas 1.kārtas noslēgums, lai 2016. gadā tas tiktu atvērts novada iedzīvotājiem. 2016. gads ir sākums plānošanas perioda Eiropas Savienības fondu projektu apguvei, tāpēc lielākais atbalsts paredzēts tehnisko projektu izstrādei – Kurzemes, Stacijas, Tvaika, Putniņu, </w:t>
      </w:r>
      <w:proofErr w:type="spellStart"/>
      <w:r>
        <w:rPr>
          <w:rFonts w:ascii="Times New Roman" w:hAnsi="Times New Roman" w:cs="Times New Roman"/>
          <w:sz w:val="24"/>
          <w:szCs w:val="24"/>
        </w:rPr>
        <w:t>Melnezera</w:t>
      </w:r>
      <w:proofErr w:type="spellEnd"/>
      <w:r>
        <w:rPr>
          <w:rFonts w:ascii="Times New Roman" w:hAnsi="Times New Roman" w:cs="Times New Roman"/>
          <w:sz w:val="24"/>
          <w:szCs w:val="24"/>
        </w:rPr>
        <w:t xml:space="preserve"> un Tvaika ielu rekonstrukcijai. Plānoti projekti ēku rekonstrukcijām – Tukuma 2. vidusskolai, pirmsskolas izglītības iestādei “Pasaciņa”, Tukuma 3.pamatskolai un Tukuma pilsētas Kultūras namam.</w:t>
      </w:r>
    </w:p>
    <w:p w:rsidR="00B403E9" w:rsidRPr="00CC202D" w:rsidRDefault="00B403E9" w:rsidP="00B403E9">
      <w:pPr>
        <w:jc w:val="both"/>
        <w:rPr>
          <w:rFonts w:ascii="Times New Roman" w:hAnsi="Times New Roman" w:cs="Times New Roman"/>
          <w:sz w:val="24"/>
          <w:szCs w:val="24"/>
        </w:rPr>
      </w:pPr>
      <w:r w:rsidRPr="00C76B49">
        <w:rPr>
          <w:rFonts w:ascii="Times New Roman" w:hAnsi="Times New Roman" w:cs="Times New Roman"/>
          <w:b/>
          <w:sz w:val="24"/>
          <w:szCs w:val="24"/>
        </w:rPr>
        <w:t>2.7.</w:t>
      </w:r>
      <w:r w:rsidRPr="009B21DE">
        <w:rPr>
          <w:rFonts w:ascii="Times New Roman" w:hAnsi="Times New Roman" w:cs="Times New Roman"/>
          <w:sz w:val="24"/>
          <w:szCs w:val="24"/>
        </w:rPr>
        <w:t xml:space="preserve"> </w:t>
      </w:r>
      <w:r w:rsidRPr="005E3877">
        <w:rPr>
          <w:rFonts w:ascii="Times New Roman" w:hAnsi="Times New Roman" w:cs="Times New Roman"/>
          <w:b/>
          <w:sz w:val="24"/>
          <w:szCs w:val="24"/>
        </w:rPr>
        <w:t>Veselības aprūpes atbalstam</w:t>
      </w:r>
      <w:r>
        <w:rPr>
          <w:rFonts w:ascii="Times New Roman" w:hAnsi="Times New Roman" w:cs="Times New Roman"/>
          <w:sz w:val="24"/>
          <w:szCs w:val="24"/>
        </w:rPr>
        <w:t xml:space="preserve"> apstiprināti</w:t>
      </w:r>
      <w:r w:rsidRPr="009B21DE">
        <w:rPr>
          <w:rFonts w:ascii="Times New Roman" w:hAnsi="Times New Roman" w:cs="Times New Roman"/>
          <w:sz w:val="24"/>
          <w:szCs w:val="24"/>
        </w:rPr>
        <w:t xml:space="preserve"> </w:t>
      </w:r>
      <w:r>
        <w:rPr>
          <w:rFonts w:ascii="Times New Roman" w:hAnsi="Times New Roman" w:cs="Times New Roman"/>
          <w:sz w:val="24"/>
          <w:szCs w:val="24"/>
        </w:rPr>
        <w:t>83 180</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Izdevumi plānoti pagastu </w:t>
      </w:r>
      <w:proofErr w:type="spellStart"/>
      <w:r w:rsidRPr="009B21DE">
        <w:rPr>
          <w:rFonts w:ascii="Times New Roman" w:hAnsi="Times New Roman" w:cs="Times New Roman"/>
          <w:sz w:val="24"/>
          <w:szCs w:val="24"/>
        </w:rPr>
        <w:t>feldšerpunktu</w:t>
      </w:r>
      <w:proofErr w:type="spellEnd"/>
      <w:r w:rsidRPr="009B21DE">
        <w:rPr>
          <w:rFonts w:ascii="Times New Roman" w:hAnsi="Times New Roman" w:cs="Times New Roman"/>
          <w:sz w:val="24"/>
          <w:szCs w:val="24"/>
        </w:rPr>
        <w:t xml:space="preserve"> uzturēšanai.</w:t>
      </w:r>
      <w:r>
        <w:rPr>
          <w:rFonts w:ascii="Times New Roman" w:hAnsi="Times New Roman" w:cs="Times New Roman"/>
          <w:sz w:val="24"/>
          <w:szCs w:val="24"/>
        </w:rPr>
        <w:t xml:space="preserve"> Šeit ir paredzēti pasākumi veselības veicināšanai pašvaldībā – veselības stratēģijas izstrāde, veselību veicinošie pasākumi skolās un pirmsskolas izglītības iestādēs. Pieaugums salīdzinājumā ar </w:t>
      </w:r>
      <w:proofErr w:type="gramStart"/>
      <w:r>
        <w:rPr>
          <w:rFonts w:ascii="Times New Roman" w:hAnsi="Times New Roman" w:cs="Times New Roman"/>
          <w:sz w:val="24"/>
          <w:szCs w:val="24"/>
        </w:rPr>
        <w:t>2016.gadu</w:t>
      </w:r>
      <w:proofErr w:type="gramEnd"/>
      <w:r>
        <w:rPr>
          <w:rFonts w:ascii="Times New Roman" w:hAnsi="Times New Roman" w:cs="Times New Roman"/>
          <w:sz w:val="24"/>
          <w:szCs w:val="24"/>
        </w:rPr>
        <w:t xml:space="preserve"> ir 31 081 </w:t>
      </w:r>
      <w:proofErr w:type="spellStart"/>
      <w:r w:rsidRPr="00CC202D">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kas saistīts ar pašvaldības iesaistīšanos projektā  “Daudzcentru </w:t>
      </w:r>
      <w:proofErr w:type="spellStart"/>
      <w:r>
        <w:rPr>
          <w:rFonts w:ascii="Times New Roman" w:hAnsi="Times New Roman" w:cs="Times New Roman"/>
          <w:sz w:val="24"/>
          <w:szCs w:val="24"/>
        </w:rPr>
        <w:t>randomizēts</w:t>
      </w:r>
      <w:proofErr w:type="spellEnd"/>
      <w:r>
        <w:rPr>
          <w:rFonts w:ascii="Times New Roman" w:hAnsi="Times New Roman" w:cs="Times New Roman"/>
          <w:sz w:val="24"/>
          <w:szCs w:val="24"/>
        </w:rPr>
        <w:t xml:space="preserve"> pētījums kuņģa vēža izraisītās mirstības samazināšanai”.</w:t>
      </w:r>
    </w:p>
    <w:p w:rsidR="00B403E9" w:rsidRPr="00F11932" w:rsidRDefault="00B403E9" w:rsidP="00B403E9">
      <w:pPr>
        <w:jc w:val="both"/>
        <w:rPr>
          <w:rFonts w:ascii="Times New Roman" w:hAnsi="Times New Roman" w:cs="Times New Roman"/>
          <w:sz w:val="24"/>
          <w:szCs w:val="24"/>
        </w:rPr>
      </w:pPr>
      <w:r w:rsidRPr="00F11932">
        <w:rPr>
          <w:rFonts w:ascii="Times New Roman" w:hAnsi="Times New Roman" w:cs="Times New Roman"/>
          <w:b/>
          <w:sz w:val="24"/>
          <w:szCs w:val="24"/>
        </w:rPr>
        <w:t xml:space="preserve"> 2.8.</w:t>
      </w:r>
      <w:r w:rsidRPr="009B21DE">
        <w:rPr>
          <w:rFonts w:ascii="Times New Roman" w:hAnsi="Times New Roman" w:cs="Times New Roman"/>
          <w:sz w:val="24"/>
          <w:szCs w:val="24"/>
        </w:rPr>
        <w:t xml:space="preserve"> </w:t>
      </w:r>
      <w:r w:rsidRPr="005E3877">
        <w:rPr>
          <w:rFonts w:ascii="Times New Roman" w:hAnsi="Times New Roman" w:cs="Times New Roman"/>
          <w:b/>
          <w:sz w:val="24"/>
          <w:szCs w:val="24"/>
        </w:rPr>
        <w:t>Atpūta, kultūra un atbalsts biedrībām un nodibinājumiem</w:t>
      </w:r>
      <w:r>
        <w:rPr>
          <w:rFonts w:ascii="Times New Roman" w:hAnsi="Times New Roman" w:cs="Times New Roman"/>
          <w:sz w:val="24"/>
          <w:szCs w:val="24"/>
        </w:rPr>
        <w:t>. Apstiprināti</w:t>
      </w:r>
      <w:r w:rsidRPr="009B21DE">
        <w:rPr>
          <w:rFonts w:ascii="Times New Roman" w:hAnsi="Times New Roman" w:cs="Times New Roman"/>
          <w:sz w:val="24"/>
          <w:szCs w:val="24"/>
        </w:rPr>
        <w:t xml:space="preserve"> līdzekļi </w:t>
      </w:r>
      <w:r>
        <w:rPr>
          <w:rFonts w:ascii="Times New Roman" w:hAnsi="Times New Roman" w:cs="Times New Roman"/>
          <w:sz w:val="24"/>
          <w:szCs w:val="24"/>
        </w:rPr>
        <w:t>3 171 701</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xml:space="preserve"> apmērā</w:t>
      </w:r>
      <w:r w:rsidRPr="009B21DE">
        <w:rPr>
          <w:rFonts w:ascii="Times New Roman" w:hAnsi="Times New Roman" w:cs="Times New Roman"/>
          <w:sz w:val="24"/>
          <w:szCs w:val="24"/>
        </w:rPr>
        <w:t xml:space="preserve">. </w:t>
      </w:r>
      <w:r>
        <w:rPr>
          <w:rFonts w:ascii="Times New Roman" w:hAnsi="Times New Roman" w:cs="Times New Roman"/>
          <w:sz w:val="24"/>
          <w:szCs w:val="24"/>
        </w:rPr>
        <w:t xml:space="preserve">Samazinājums ir par 412 914 </w:t>
      </w:r>
      <w:proofErr w:type="spellStart"/>
      <w:r w:rsidRPr="00213698">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sidRPr="00F11932">
        <w:rPr>
          <w:rFonts w:ascii="Times New Roman" w:hAnsi="Times New Roman" w:cs="Times New Roman"/>
          <w:sz w:val="24"/>
          <w:szCs w:val="24"/>
        </w:rPr>
        <w:t>t</w:t>
      </w:r>
      <w:r>
        <w:rPr>
          <w:rFonts w:ascii="Times New Roman" w:hAnsi="Times New Roman" w:cs="Times New Roman"/>
          <w:sz w:val="24"/>
          <w:szCs w:val="24"/>
        </w:rPr>
        <w:t xml:space="preserve">as saistīts ar to, ka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budžetā bija paredzēta Durbes pils muzeja katlu mājas būvniecība. </w:t>
      </w:r>
      <w:r w:rsidRPr="00213698">
        <w:rPr>
          <w:rFonts w:ascii="Times New Roman" w:hAnsi="Times New Roman" w:cs="Times New Roman"/>
          <w:sz w:val="24"/>
          <w:szCs w:val="24"/>
        </w:rPr>
        <w:t>Atbalsts</w:t>
      </w:r>
      <w:r w:rsidRPr="009B21DE">
        <w:rPr>
          <w:rFonts w:ascii="Times New Roman" w:hAnsi="Times New Roman" w:cs="Times New Roman"/>
          <w:sz w:val="24"/>
          <w:szCs w:val="24"/>
        </w:rPr>
        <w:t xml:space="preserve"> novada biedrībām un </w:t>
      </w:r>
      <w:r>
        <w:rPr>
          <w:rFonts w:ascii="Times New Roman" w:hAnsi="Times New Roman" w:cs="Times New Roman"/>
          <w:sz w:val="24"/>
          <w:szCs w:val="24"/>
        </w:rPr>
        <w:t>nodibinājumiem –</w:t>
      </w:r>
      <w:r w:rsidRPr="009B21DE">
        <w:rPr>
          <w:rFonts w:ascii="Times New Roman" w:hAnsi="Times New Roman" w:cs="Times New Roman"/>
          <w:sz w:val="24"/>
          <w:szCs w:val="24"/>
        </w:rPr>
        <w:t xml:space="preserve"> </w:t>
      </w:r>
      <w:r>
        <w:rPr>
          <w:rFonts w:ascii="Times New Roman" w:hAnsi="Times New Roman" w:cs="Times New Roman"/>
          <w:sz w:val="24"/>
          <w:szCs w:val="24"/>
        </w:rPr>
        <w:t>122 499</w:t>
      </w:r>
      <w:r w:rsidRPr="009B21DE">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Pr>
          <w:rFonts w:ascii="Times New Roman" w:hAnsi="Times New Roman" w:cs="Times New Roman"/>
          <w:sz w:val="24"/>
          <w:szCs w:val="24"/>
        </w:rPr>
        <w:t>apmērā</w:t>
      </w:r>
      <w:r>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biedrībām un nodibināmiem finansējums tiek piešķirts, pamatojoties uz jauniem noteikumiem</w:t>
      </w:r>
      <w:r w:rsidRPr="00184965">
        <w:rPr>
          <w:rFonts w:ascii="Open Sans" w:hAnsi="Open Sans"/>
          <w:color w:val="333333"/>
          <w:sz w:val="21"/>
          <w:szCs w:val="21"/>
        </w:rPr>
        <w:t xml:space="preserve"> </w:t>
      </w:r>
      <w:r>
        <w:rPr>
          <w:rFonts w:ascii="Times New Roman" w:hAnsi="Times New Roman" w:cs="Times New Roman"/>
          <w:sz w:val="24"/>
          <w:szCs w:val="24"/>
        </w:rPr>
        <w:t>“</w:t>
      </w:r>
      <w:r w:rsidRPr="00F11932">
        <w:rPr>
          <w:rFonts w:ascii="Times New Roman" w:hAnsi="Times New Roman" w:cs="Times New Roman"/>
          <w:sz w:val="24"/>
          <w:szCs w:val="24"/>
        </w:rPr>
        <w:t>Tukuma novada Domes atbalsts nevalstisko organizāciju iniciatīvām”.</w:t>
      </w:r>
    </w:p>
    <w:p w:rsidR="00B403E9" w:rsidRPr="000819F1" w:rsidRDefault="00B403E9" w:rsidP="00B403E9">
      <w:pPr>
        <w:jc w:val="both"/>
        <w:rPr>
          <w:rFonts w:ascii="Times New Roman" w:hAnsi="Times New Roman" w:cs="Times New Roman"/>
          <w:sz w:val="24"/>
          <w:szCs w:val="24"/>
        </w:rPr>
      </w:pPr>
      <w:r w:rsidRPr="00753843">
        <w:rPr>
          <w:rFonts w:ascii="Times New Roman" w:hAnsi="Times New Roman" w:cs="Times New Roman"/>
          <w:b/>
          <w:sz w:val="24"/>
          <w:szCs w:val="24"/>
        </w:rPr>
        <w:t>2.9.</w:t>
      </w:r>
      <w:r w:rsidRPr="009B21DE">
        <w:rPr>
          <w:rFonts w:ascii="Times New Roman" w:hAnsi="Times New Roman" w:cs="Times New Roman"/>
          <w:sz w:val="24"/>
          <w:szCs w:val="24"/>
        </w:rPr>
        <w:t xml:space="preserve"> </w:t>
      </w:r>
      <w:r w:rsidRPr="005E3877">
        <w:rPr>
          <w:rFonts w:ascii="Times New Roman" w:hAnsi="Times New Roman" w:cs="Times New Roman"/>
          <w:b/>
          <w:sz w:val="24"/>
          <w:szCs w:val="24"/>
        </w:rPr>
        <w:t>Izglītība</w:t>
      </w:r>
      <w:r w:rsidRPr="009B21DE">
        <w:rPr>
          <w:rFonts w:ascii="Times New Roman" w:hAnsi="Times New Roman" w:cs="Times New Roman"/>
          <w:sz w:val="24"/>
          <w:szCs w:val="24"/>
        </w:rPr>
        <w:t xml:space="preserve">. Proporcionāli vislielākais finansējums ir izglītībai </w:t>
      </w:r>
      <w:r>
        <w:rPr>
          <w:rFonts w:ascii="Times New Roman" w:hAnsi="Times New Roman" w:cs="Times New Roman"/>
          <w:sz w:val="24"/>
          <w:szCs w:val="24"/>
        </w:rPr>
        <w:t xml:space="preserve">15 576 850 </w:t>
      </w:r>
      <w:proofErr w:type="spellStart"/>
      <w:r w:rsidRPr="009A66C1">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(tai skaitā maksas pakalpojumi – </w:t>
      </w:r>
      <w:r>
        <w:rPr>
          <w:rFonts w:ascii="Times New Roman" w:hAnsi="Times New Roman" w:cs="Times New Roman"/>
          <w:sz w:val="24"/>
          <w:szCs w:val="24"/>
        </w:rPr>
        <w:t>414 874</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valsts mērķdotācijas – </w:t>
      </w:r>
      <w:r>
        <w:rPr>
          <w:rFonts w:ascii="Times New Roman" w:hAnsi="Times New Roman" w:cs="Times New Roman"/>
          <w:sz w:val="24"/>
          <w:szCs w:val="24"/>
        </w:rPr>
        <w:t>7 822 604</w:t>
      </w:r>
      <w:r w:rsidRPr="009B21DE">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Palielinājums kopumā ir par 1,6</w:t>
      </w:r>
      <w:r w:rsidRPr="009B21DE">
        <w:rPr>
          <w:rFonts w:ascii="Times New Roman" w:hAnsi="Times New Roman" w:cs="Times New Roman"/>
          <w:sz w:val="24"/>
          <w:szCs w:val="24"/>
        </w:rPr>
        <w:t xml:space="preserve"> % (</w:t>
      </w:r>
      <w:r>
        <w:rPr>
          <w:rFonts w:ascii="Times New Roman" w:hAnsi="Times New Roman" w:cs="Times New Roman"/>
          <w:sz w:val="24"/>
          <w:szCs w:val="24"/>
        </w:rPr>
        <w:t>259 333</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0F5A5C">
        <w:rPr>
          <w:rFonts w:ascii="Times New Roman" w:hAnsi="Times New Roman" w:cs="Times New Roman"/>
          <w:sz w:val="24"/>
          <w:szCs w:val="24"/>
        </w:rPr>
        <w:t>)</w:t>
      </w:r>
      <w:r w:rsidRPr="009B21DE">
        <w:rPr>
          <w:rFonts w:ascii="Times New Roman" w:hAnsi="Times New Roman" w:cs="Times New Roman"/>
          <w:i/>
          <w:sz w:val="24"/>
          <w:szCs w:val="24"/>
        </w:rPr>
        <w:t>.</w:t>
      </w:r>
      <w:r>
        <w:rPr>
          <w:rFonts w:ascii="Times New Roman" w:hAnsi="Times New Roman" w:cs="Times New Roman"/>
          <w:sz w:val="24"/>
          <w:szCs w:val="24"/>
        </w:rPr>
        <w:t xml:space="preserve"> Tāpat piešķirts</w:t>
      </w:r>
      <w:r w:rsidRPr="009B21DE">
        <w:rPr>
          <w:rFonts w:ascii="Times New Roman" w:hAnsi="Times New Roman" w:cs="Times New Roman"/>
          <w:sz w:val="24"/>
          <w:szCs w:val="24"/>
        </w:rPr>
        <w:t xml:space="preserve"> pašvaldības līdzfinansējums skolēnu ēdināšanai skolās, līdzfinansējums skolēnu ceļa izdevu</w:t>
      </w:r>
      <w:r>
        <w:rPr>
          <w:rFonts w:ascii="Times New Roman" w:hAnsi="Times New Roman" w:cs="Times New Roman"/>
          <w:sz w:val="24"/>
          <w:szCs w:val="24"/>
        </w:rPr>
        <w:t>mu segšanai, lai apmeklētu izglītības iestādes. A</w:t>
      </w:r>
      <w:r w:rsidRPr="009B21DE">
        <w:rPr>
          <w:rFonts w:ascii="Times New Roman" w:hAnsi="Times New Roman" w:cs="Times New Roman"/>
          <w:sz w:val="24"/>
          <w:szCs w:val="24"/>
        </w:rPr>
        <w:t>rī šogad tiek saglabāts atbalsts privātajai pirmsskolas izglītības iestādei „Ķipars</w:t>
      </w:r>
      <w:r w:rsidRPr="001C7126">
        <w:rPr>
          <w:rFonts w:ascii="Times New Roman" w:hAnsi="Times New Roman" w:cs="Times New Roman"/>
          <w:sz w:val="24"/>
          <w:szCs w:val="24"/>
        </w:rPr>
        <w:t>” (uz 01.01.2016. iestādi apmeklēja 72 izglītojamie no Tukuma novada), 50% apmērā no pirmsskolas izglītības iestāžu vidējiem uzturēšanas izdevumiem finansiāls atbalsts ir</w:t>
      </w:r>
      <w:r>
        <w:rPr>
          <w:rFonts w:ascii="Times New Roman" w:hAnsi="Times New Roman" w:cs="Times New Roman"/>
          <w:sz w:val="24"/>
          <w:szCs w:val="24"/>
        </w:rPr>
        <w:t xml:space="preserve"> Biedrībai “Tukuma Tautskola” (</w:t>
      </w:r>
      <w:r w:rsidRPr="001C7126">
        <w:rPr>
          <w:rFonts w:ascii="Times New Roman" w:hAnsi="Times New Roman" w:cs="Times New Roman"/>
          <w:sz w:val="24"/>
          <w:szCs w:val="24"/>
        </w:rPr>
        <w:t xml:space="preserve">uz 01.01.2016. apmeklēja 18 pirmsskolas vecuma izglītojamie) un auklīšu pakalpojumu izdevumu līdzfinansējuma segšanai (86 </w:t>
      </w:r>
      <w:proofErr w:type="spellStart"/>
      <w:r w:rsidRPr="001C7126">
        <w:rPr>
          <w:rFonts w:ascii="Times New Roman" w:hAnsi="Times New Roman" w:cs="Times New Roman"/>
          <w:i/>
          <w:sz w:val="24"/>
          <w:szCs w:val="24"/>
        </w:rPr>
        <w:t>euro</w:t>
      </w:r>
      <w:proofErr w:type="spellEnd"/>
      <w:r w:rsidRPr="001C7126">
        <w:rPr>
          <w:rFonts w:ascii="Times New Roman" w:hAnsi="Times New Roman" w:cs="Times New Roman"/>
          <w:sz w:val="24"/>
          <w:szCs w:val="24"/>
        </w:rPr>
        <w:t xml:space="preserve">). Interešu izglītības darbības rezultātu atspoguļošanai novadā </w:t>
      </w:r>
      <w:proofErr w:type="gramStart"/>
      <w:r w:rsidRPr="001C7126">
        <w:rPr>
          <w:rFonts w:ascii="Times New Roman" w:hAnsi="Times New Roman" w:cs="Times New Roman"/>
          <w:sz w:val="24"/>
          <w:szCs w:val="24"/>
        </w:rPr>
        <w:t>2016.gada</w:t>
      </w:r>
      <w:proofErr w:type="gramEnd"/>
      <w:r w:rsidRPr="001C7126">
        <w:rPr>
          <w:rFonts w:ascii="Times New Roman" w:hAnsi="Times New Roman" w:cs="Times New Roman"/>
          <w:sz w:val="24"/>
          <w:szCs w:val="24"/>
        </w:rPr>
        <w:t xml:space="preserve"> 28.maijā tiek plānota Bērnu un jauniešu dziesmu un deju diena ar 3000 dalībnieku piedalīšanos (dalību ir pieteikuši arī vairāki kaimiņu novadi ar savu finansējumu). Plānoti izdevumi ir novada Jaunsargu darbības atbalstam Tukuma pilsētā un Zemgales vidusskolā, Profesiju dienas (februāra mēnesī), Karjeras nedēļas (oktobra mēnesī) pasākumiem, kā arī pedagogu Metodisko dienu pasākumiem (skolēnu pavasara un rudens brīvlaikos). </w:t>
      </w:r>
      <w:proofErr w:type="gramStart"/>
      <w:r w:rsidRPr="001C7126">
        <w:rPr>
          <w:rFonts w:ascii="Times New Roman" w:hAnsi="Times New Roman" w:cs="Times New Roman"/>
          <w:sz w:val="24"/>
          <w:szCs w:val="24"/>
        </w:rPr>
        <w:t>2016.gadā</w:t>
      </w:r>
      <w:proofErr w:type="gramEnd"/>
      <w:r w:rsidRPr="001C7126">
        <w:rPr>
          <w:rFonts w:ascii="Times New Roman" w:hAnsi="Times New Roman" w:cs="Times New Roman"/>
          <w:sz w:val="24"/>
          <w:szCs w:val="24"/>
        </w:rPr>
        <w:t xml:space="preserve"> ir saglabāts balvu fonds izglītojamajiem un viņu pedagogiem par augstiem sasniegumiem olimpiādēs, konkursos un skatēs, stipendijas sekmīgākajiem novada augstskolu 1.kursu studentiem, kā arī finansējums novadu labāko pedagogu apbalvošanai profesijas svētkos</w:t>
      </w:r>
      <w:r>
        <w:rPr>
          <w:rFonts w:ascii="Times New Roman" w:hAnsi="Times New Roman" w:cs="Times New Roman"/>
          <w:sz w:val="24"/>
          <w:szCs w:val="24"/>
        </w:rPr>
        <w:t xml:space="preserve"> –</w:t>
      </w:r>
      <w:r w:rsidRPr="001C7126">
        <w:rPr>
          <w:rFonts w:ascii="Times New Roman" w:hAnsi="Times New Roman" w:cs="Times New Roman"/>
          <w:sz w:val="24"/>
          <w:szCs w:val="24"/>
        </w:rPr>
        <w:t xml:space="preserve"> Skolotāju dienā. Finansējuma p</w:t>
      </w:r>
      <w:r>
        <w:rPr>
          <w:rFonts w:ascii="Times New Roman" w:hAnsi="Times New Roman" w:cs="Times New Roman"/>
          <w:sz w:val="24"/>
          <w:szCs w:val="24"/>
        </w:rPr>
        <w:t>ieaugums ir saistīts ar minimālās darba algas pieaugumu un algas pieaugumu pirmsskolas izglītības iestāžu pedagogiem</w:t>
      </w:r>
      <w:r>
        <w:rPr>
          <w:rFonts w:ascii="Times New Roman" w:hAnsi="Times New Roman" w:cs="Times New Roman"/>
          <w:i/>
          <w:sz w:val="24"/>
          <w:szCs w:val="24"/>
        </w:rPr>
        <w:t xml:space="preserve">. </w:t>
      </w:r>
      <w:proofErr w:type="gramStart"/>
      <w:r>
        <w:rPr>
          <w:rFonts w:ascii="Times New Roman" w:hAnsi="Times New Roman" w:cs="Times New Roman"/>
          <w:sz w:val="24"/>
          <w:szCs w:val="24"/>
        </w:rPr>
        <w:t>2016.</w:t>
      </w:r>
      <w:r w:rsidRPr="00047A94">
        <w:rPr>
          <w:rFonts w:ascii="Times New Roman" w:hAnsi="Times New Roman" w:cs="Times New Roman"/>
          <w:sz w:val="24"/>
          <w:szCs w:val="24"/>
        </w:rPr>
        <w:t>gadā</w:t>
      </w:r>
      <w:proofErr w:type="gramEnd"/>
      <w:r w:rsidRPr="00047A94">
        <w:rPr>
          <w:rFonts w:ascii="Times New Roman" w:hAnsi="Times New Roman" w:cs="Times New Roman"/>
          <w:sz w:val="24"/>
          <w:szCs w:val="24"/>
        </w:rPr>
        <w:t xml:space="preserve"> </w:t>
      </w:r>
      <w:r>
        <w:rPr>
          <w:rFonts w:ascii="Times New Roman" w:hAnsi="Times New Roman" w:cs="Times New Roman"/>
          <w:sz w:val="24"/>
          <w:szCs w:val="24"/>
        </w:rPr>
        <w:t>ar aizņēmuma līdzekļiem paredzēts</w:t>
      </w:r>
      <w:r w:rsidRPr="00047A94">
        <w:rPr>
          <w:rFonts w:ascii="Times New Roman" w:hAnsi="Times New Roman" w:cs="Times New Roman"/>
          <w:sz w:val="24"/>
          <w:szCs w:val="24"/>
        </w:rPr>
        <w:t xml:space="preserve"> </w:t>
      </w:r>
      <w:r>
        <w:rPr>
          <w:rFonts w:ascii="Times New Roman" w:hAnsi="Times New Roman" w:cs="Times New Roman"/>
          <w:sz w:val="24"/>
          <w:szCs w:val="24"/>
        </w:rPr>
        <w:t>izbūvēt stadionu un sporta zāli pie Tukuma 3.pamatskolas un veikt rekonstrukciju Tukuma 2.vidusskolā.</w:t>
      </w:r>
      <w:r w:rsidRPr="00FE2E24">
        <w:rPr>
          <w:rFonts w:ascii="Times New Roman" w:hAnsi="Times New Roman" w:cs="Times New Roman"/>
          <w:sz w:val="24"/>
          <w:szCs w:val="24"/>
        </w:rPr>
        <w:t xml:space="preserve"> </w:t>
      </w:r>
    </w:p>
    <w:p w:rsidR="00B403E9" w:rsidRPr="009D6AF6" w:rsidRDefault="00B403E9" w:rsidP="00B403E9">
      <w:pPr>
        <w:jc w:val="both"/>
        <w:rPr>
          <w:rFonts w:ascii="Times New Roman" w:hAnsi="Times New Roman" w:cs="Times New Roman"/>
          <w:sz w:val="24"/>
          <w:szCs w:val="24"/>
        </w:rPr>
      </w:pPr>
      <w:r w:rsidRPr="005D2D36">
        <w:rPr>
          <w:rFonts w:ascii="Times New Roman" w:hAnsi="Times New Roman" w:cs="Times New Roman"/>
          <w:b/>
          <w:sz w:val="24"/>
          <w:szCs w:val="24"/>
        </w:rPr>
        <w:lastRenderedPageBreak/>
        <w:t>2.10.</w:t>
      </w:r>
      <w:r>
        <w:rPr>
          <w:rFonts w:ascii="Times New Roman" w:hAnsi="Times New Roman" w:cs="Times New Roman"/>
          <w:b/>
          <w:sz w:val="24"/>
          <w:szCs w:val="24"/>
        </w:rPr>
        <w:t xml:space="preserve"> </w:t>
      </w:r>
      <w:r w:rsidRPr="005E3877">
        <w:rPr>
          <w:rFonts w:ascii="Times New Roman" w:hAnsi="Times New Roman" w:cs="Times New Roman"/>
          <w:b/>
          <w:sz w:val="24"/>
          <w:szCs w:val="24"/>
        </w:rPr>
        <w:t>Sociālā palīdzība un sociālie pakalpojumi</w:t>
      </w:r>
      <w:r>
        <w:rPr>
          <w:rFonts w:ascii="Times New Roman" w:hAnsi="Times New Roman" w:cs="Times New Roman"/>
          <w:sz w:val="24"/>
          <w:szCs w:val="24"/>
        </w:rPr>
        <w:t xml:space="preserve">. </w:t>
      </w:r>
      <w:proofErr w:type="gramStart"/>
      <w:r>
        <w:rPr>
          <w:rFonts w:ascii="Times New Roman" w:hAnsi="Times New Roman" w:cs="Times New Roman"/>
          <w:sz w:val="24"/>
          <w:szCs w:val="24"/>
        </w:rPr>
        <w:t>2016</w:t>
      </w:r>
      <w:r w:rsidRPr="009C636C">
        <w:rPr>
          <w:rFonts w:ascii="Times New Roman" w:hAnsi="Times New Roman" w:cs="Times New Roman"/>
          <w:sz w:val="24"/>
          <w:szCs w:val="24"/>
        </w:rPr>
        <w:t>.gadā</w:t>
      </w:r>
      <w:proofErr w:type="gramEnd"/>
      <w:r w:rsidRPr="009C636C">
        <w:rPr>
          <w:rFonts w:ascii="Times New Roman" w:hAnsi="Times New Roman" w:cs="Times New Roman"/>
          <w:sz w:val="24"/>
          <w:szCs w:val="24"/>
        </w:rPr>
        <w:t xml:space="preserve"> ir </w:t>
      </w:r>
      <w:r>
        <w:rPr>
          <w:rFonts w:ascii="Times New Roman" w:hAnsi="Times New Roman" w:cs="Times New Roman"/>
          <w:sz w:val="24"/>
          <w:szCs w:val="24"/>
        </w:rPr>
        <w:t xml:space="preserve">piešķirti </w:t>
      </w:r>
      <w:r w:rsidRPr="009C636C">
        <w:rPr>
          <w:rFonts w:ascii="Times New Roman" w:hAnsi="Times New Roman" w:cs="Times New Roman"/>
          <w:sz w:val="24"/>
          <w:szCs w:val="24"/>
        </w:rPr>
        <w:t xml:space="preserve">2 737 176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kas ir par 4,</w:t>
      </w:r>
      <w:r w:rsidRPr="009C636C">
        <w:rPr>
          <w:rFonts w:ascii="Times New Roman" w:hAnsi="Times New Roman" w:cs="Times New Roman"/>
          <w:sz w:val="24"/>
          <w:szCs w:val="24"/>
        </w:rPr>
        <w:t xml:space="preserve">4 % vairāk </w:t>
      </w:r>
      <w:r>
        <w:rPr>
          <w:rFonts w:ascii="Times New Roman" w:hAnsi="Times New Roman" w:cs="Times New Roman"/>
          <w:sz w:val="24"/>
          <w:szCs w:val="24"/>
        </w:rPr>
        <w:t>ne</w:t>
      </w:r>
      <w:r w:rsidRPr="009C636C">
        <w:rPr>
          <w:rFonts w:ascii="Times New Roman" w:hAnsi="Times New Roman" w:cs="Times New Roman"/>
          <w:sz w:val="24"/>
          <w:szCs w:val="24"/>
        </w:rPr>
        <w:t xml:space="preserve">kā 2015.gadā (116 398 </w:t>
      </w:r>
      <w:proofErr w:type="spellStart"/>
      <w:r w:rsidRPr="009C636C">
        <w:rPr>
          <w:rFonts w:ascii="Times New Roman" w:hAnsi="Times New Roman" w:cs="Times New Roman"/>
          <w:i/>
          <w:sz w:val="24"/>
          <w:szCs w:val="24"/>
        </w:rPr>
        <w:t>euro</w:t>
      </w:r>
      <w:proofErr w:type="spellEnd"/>
      <w:r w:rsidRPr="009C636C">
        <w:rPr>
          <w:rFonts w:ascii="Times New Roman" w:hAnsi="Times New Roman" w:cs="Times New Roman"/>
          <w:sz w:val="24"/>
          <w:szCs w:val="24"/>
        </w:rPr>
        <w:t>). Pieauguš</w:t>
      </w:r>
      <w:r>
        <w:rPr>
          <w:rFonts w:ascii="Times New Roman" w:hAnsi="Times New Roman" w:cs="Times New Roman"/>
          <w:sz w:val="24"/>
          <w:szCs w:val="24"/>
        </w:rPr>
        <w:t>i uzturēšanas izdevumi – jaunajā ēkā</w:t>
      </w:r>
      <w:r w:rsidRPr="009C636C">
        <w:rPr>
          <w:rFonts w:ascii="Times New Roman" w:hAnsi="Times New Roman" w:cs="Times New Roman"/>
          <w:sz w:val="24"/>
          <w:szCs w:val="24"/>
        </w:rPr>
        <w:t xml:space="preserve"> Dārzniecības </w:t>
      </w:r>
      <w:r>
        <w:rPr>
          <w:rFonts w:ascii="Times New Roman" w:hAnsi="Times New Roman" w:cs="Times New Roman"/>
          <w:sz w:val="24"/>
          <w:szCs w:val="24"/>
        </w:rPr>
        <w:t>ielā 2A, Tukumā,</w:t>
      </w:r>
      <w:r w:rsidRPr="009C636C">
        <w:rPr>
          <w:rFonts w:ascii="Times New Roman" w:hAnsi="Times New Roman" w:cs="Times New Roman"/>
          <w:sz w:val="24"/>
          <w:szCs w:val="24"/>
        </w:rPr>
        <w:t xml:space="preserve"> (dienas centri “Saime” un “Saimīte”), </w:t>
      </w:r>
      <w:r>
        <w:rPr>
          <w:rFonts w:ascii="Times New Roman" w:hAnsi="Times New Roman" w:cs="Times New Roman"/>
          <w:sz w:val="24"/>
          <w:szCs w:val="24"/>
        </w:rPr>
        <w:t>“</w:t>
      </w:r>
      <w:r w:rsidRPr="009C636C">
        <w:rPr>
          <w:rFonts w:ascii="Times New Roman" w:hAnsi="Times New Roman" w:cs="Times New Roman"/>
          <w:sz w:val="24"/>
          <w:szCs w:val="24"/>
        </w:rPr>
        <w:t>Mežrozītes</w:t>
      </w:r>
      <w:r>
        <w:rPr>
          <w:rFonts w:ascii="Times New Roman" w:hAnsi="Times New Roman" w:cs="Times New Roman"/>
          <w:sz w:val="24"/>
          <w:szCs w:val="24"/>
        </w:rPr>
        <w:t>” Irlavā</w:t>
      </w:r>
      <w:r w:rsidRPr="009C636C">
        <w:rPr>
          <w:rFonts w:ascii="Times New Roman" w:hAnsi="Times New Roman" w:cs="Times New Roman"/>
          <w:sz w:val="24"/>
          <w:szCs w:val="24"/>
        </w:rPr>
        <w:t xml:space="preserve"> (sociālo pakalpojumus centrs, t.sk. grupu d</w:t>
      </w:r>
      <w:r>
        <w:rPr>
          <w:rFonts w:ascii="Times New Roman" w:hAnsi="Times New Roman" w:cs="Times New Roman"/>
          <w:sz w:val="24"/>
          <w:szCs w:val="24"/>
        </w:rPr>
        <w:t>zīvoklis), Sēmes kopienas centram</w:t>
      </w:r>
      <w:r w:rsidRPr="009C636C">
        <w:rPr>
          <w:rFonts w:ascii="Times New Roman" w:hAnsi="Times New Roman" w:cs="Times New Roman"/>
          <w:sz w:val="24"/>
          <w:szCs w:val="24"/>
        </w:rPr>
        <w:t xml:space="preserve">  “Mūsmājas”.</w:t>
      </w:r>
      <w:r>
        <w:rPr>
          <w:rFonts w:ascii="Times New Roman" w:hAnsi="Times New Roman" w:cs="Times New Roman"/>
          <w:sz w:val="24"/>
          <w:szCs w:val="24"/>
        </w:rPr>
        <w:t xml:space="preserve"> </w:t>
      </w:r>
      <w:r w:rsidRPr="009C636C">
        <w:rPr>
          <w:rFonts w:ascii="Times New Roman" w:hAnsi="Times New Roman" w:cs="Times New Roman"/>
          <w:sz w:val="24"/>
          <w:szCs w:val="24"/>
        </w:rPr>
        <w:t xml:space="preserve">Ir atbalstīti </w:t>
      </w:r>
      <w:r w:rsidRPr="009D6AF6">
        <w:rPr>
          <w:rFonts w:ascii="Times New Roman" w:hAnsi="Times New Roman" w:cs="Times New Roman"/>
          <w:sz w:val="24"/>
          <w:szCs w:val="24"/>
        </w:rPr>
        <w:t xml:space="preserve">visi </w:t>
      </w:r>
      <w:r>
        <w:rPr>
          <w:rFonts w:ascii="Times New Roman" w:hAnsi="Times New Roman" w:cs="Times New Roman"/>
          <w:sz w:val="24"/>
          <w:szCs w:val="24"/>
        </w:rPr>
        <w:t>gada darbības plānā iekļautie</w:t>
      </w:r>
      <w:r w:rsidRPr="009C636C">
        <w:rPr>
          <w:rFonts w:ascii="Times New Roman" w:hAnsi="Times New Roman" w:cs="Times New Roman"/>
          <w:sz w:val="24"/>
          <w:szCs w:val="24"/>
        </w:rPr>
        <w:t xml:space="preserve"> pakalpojumu sniedzēju pasākumi, lai pakalpojums tiktu nodrošināts augstā kvalitātē </w:t>
      </w:r>
      <w:r>
        <w:rPr>
          <w:rFonts w:ascii="Times New Roman" w:hAnsi="Times New Roman" w:cs="Times New Roman"/>
          <w:sz w:val="24"/>
          <w:szCs w:val="24"/>
        </w:rPr>
        <w:t>–</w:t>
      </w:r>
      <w:r w:rsidRPr="009C636C">
        <w:rPr>
          <w:rFonts w:ascii="Times New Roman" w:hAnsi="Times New Roman" w:cs="Times New Roman"/>
          <w:sz w:val="24"/>
          <w:szCs w:val="24"/>
        </w:rPr>
        <w:t xml:space="preserve"> grupu darbi, radošās darbnīcas, nometnes, integrācijai sabiedrībā dažādu pasākumu apmeklējumi – detalizēti 2016. gada darbības plānā.</w:t>
      </w:r>
      <w:r>
        <w:rPr>
          <w:rFonts w:ascii="Times New Roman" w:hAnsi="Times New Roman" w:cs="Times New Roman"/>
          <w:sz w:val="24"/>
          <w:szCs w:val="24"/>
        </w:rPr>
        <w:t xml:space="preserve"> </w:t>
      </w:r>
      <w:r w:rsidRPr="009C636C">
        <w:rPr>
          <w:rFonts w:ascii="Times New Roman" w:hAnsi="Times New Roman" w:cs="Times New Roman"/>
          <w:sz w:val="24"/>
          <w:szCs w:val="24"/>
        </w:rPr>
        <w:t>Paaugstinājies  slieksnis dzīvokļa pabalsta saņemšanai (maznodrošinātā persona – 60 %</w:t>
      </w:r>
      <w:r>
        <w:rPr>
          <w:rFonts w:ascii="Times New Roman" w:hAnsi="Times New Roman" w:cs="Times New Roman"/>
          <w:sz w:val="24"/>
          <w:szCs w:val="24"/>
        </w:rPr>
        <w:t xml:space="preserve"> (222 </w:t>
      </w:r>
      <w:proofErr w:type="spellStart"/>
      <w:r w:rsidRPr="009C636C">
        <w:rPr>
          <w:rFonts w:ascii="Times New Roman" w:hAnsi="Times New Roman" w:cs="Times New Roman"/>
          <w:i/>
          <w:sz w:val="24"/>
          <w:szCs w:val="24"/>
        </w:rPr>
        <w:t>euro</w:t>
      </w:r>
      <w:proofErr w:type="spellEnd"/>
      <w:r>
        <w:rPr>
          <w:rFonts w:ascii="Times New Roman" w:hAnsi="Times New Roman" w:cs="Times New Roman"/>
          <w:sz w:val="24"/>
          <w:szCs w:val="24"/>
        </w:rPr>
        <w:t>)</w:t>
      </w:r>
      <w:r w:rsidRPr="009C636C">
        <w:rPr>
          <w:rFonts w:ascii="Times New Roman" w:hAnsi="Times New Roman" w:cs="Times New Roman"/>
          <w:sz w:val="24"/>
          <w:szCs w:val="24"/>
        </w:rPr>
        <w:t xml:space="preserve"> no minimālās algas), paaugstināts slieksnis dzīvokļa pabalsta saņemšanai atsevišķi dzīvojošiem pensionāriem un invalīdiem </w:t>
      </w:r>
      <w:r>
        <w:rPr>
          <w:rFonts w:ascii="Times New Roman" w:hAnsi="Times New Roman" w:cs="Times New Roman"/>
          <w:sz w:val="24"/>
          <w:szCs w:val="24"/>
        </w:rPr>
        <w:t>(</w:t>
      </w:r>
      <w:r w:rsidRPr="009C636C">
        <w:rPr>
          <w:rFonts w:ascii="Times New Roman" w:hAnsi="Times New Roman" w:cs="Times New Roman"/>
          <w:sz w:val="24"/>
          <w:szCs w:val="24"/>
        </w:rPr>
        <w:t xml:space="preserve">no 250 uz 260 </w:t>
      </w:r>
      <w:proofErr w:type="spellStart"/>
      <w:r w:rsidRPr="009C636C">
        <w:rPr>
          <w:rFonts w:ascii="Times New Roman" w:hAnsi="Times New Roman" w:cs="Times New Roman"/>
          <w:i/>
          <w:sz w:val="24"/>
          <w:szCs w:val="24"/>
        </w:rPr>
        <w:t>euro</w:t>
      </w:r>
      <w:proofErr w:type="spellEnd"/>
      <w:r>
        <w:rPr>
          <w:rFonts w:ascii="Times New Roman" w:hAnsi="Times New Roman" w:cs="Times New Roman"/>
          <w:sz w:val="24"/>
          <w:szCs w:val="24"/>
        </w:rPr>
        <w:t>)</w:t>
      </w:r>
      <w:r w:rsidRPr="009C636C">
        <w:rPr>
          <w:rFonts w:ascii="Times New Roman" w:hAnsi="Times New Roman" w:cs="Times New Roman"/>
          <w:sz w:val="24"/>
          <w:szCs w:val="24"/>
        </w:rPr>
        <w:t>, paaugstināt</w:t>
      </w:r>
      <w:r>
        <w:rPr>
          <w:rFonts w:ascii="Times New Roman" w:hAnsi="Times New Roman" w:cs="Times New Roman"/>
          <w:sz w:val="24"/>
          <w:szCs w:val="24"/>
        </w:rPr>
        <w:t>s</w:t>
      </w:r>
      <w:r w:rsidRPr="009C636C">
        <w:rPr>
          <w:rFonts w:ascii="Times New Roman" w:hAnsi="Times New Roman" w:cs="Times New Roman"/>
          <w:sz w:val="24"/>
          <w:szCs w:val="24"/>
        </w:rPr>
        <w:t xml:space="preserve"> normatīvs pabalsta </w:t>
      </w:r>
      <w:r>
        <w:rPr>
          <w:rFonts w:ascii="Times New Roman" w:hAnsi="Times New Roman" w:cs="Times New Roman"/>
          <w:sz w:val="24"/>
          <w:szCs w:val="24"/>
        </w:rPr>
        <w:t>aprēķināšanai lokālai apkurei (no 0,</w:t>
      </w:r>
      <w:r w:rsidRPr="009C636C">
        <w:rPr>
          <w:rFonts w:ascii="Times New Roman" w:hAnsi="Times New Roman" w:cs="Times New Roman"/>
          <w:sz w:val="24"/>
          <w:szCs w:val="24"/>
        </w:rPr>
        <w:t xml:space="preserve">7 </w:t>
      </w:r>
      <w:proofErr w:type="spellStart"/>
      <w:r w:rsidRPr="009C636C">
        <w:rPr>
          <w:rFonts w:ascii="Times New Roman" w:hAnsi="Times New Roman" w:cs="Times New Roman"/>
          <w:i/>
          <w:sz w:val="24"/>
          <w:szCs w:val="24"/>
        </w:rPr>
        <w:t>euro</w:t>
      </w:r>
      <w:proofErr w:type="spellEnd"/>
      <w:r w:rsidRPr="009C636C">
        <w:rPr>
          <w:rFonts w:ascii="Times New Roman" w:hAnsi="Times New Roman" w:cs="Times New Roman"/>
          <w:sz w:val="24"/>
          <w:szCs w:val="24"/>
        </w:rPr>
        <w:t xml:space="preserve"> uz 1</w:t>
      </w:r>
      <w:r>
        <w:rPr>
          <w:rFonts w:ascii="Times New Roman" w:hAnsi="Times New Roman" w:cs="Times New Roman"/>
          <w:sz w:val="24"/>
          <w:szCs w:val="24"/>
        </w:rPr>
        <w:t>,00</w:t>
      </w:r>
      <w:r w:rsidRPr="009C636C">
        <w:rPr>
          <w:rFonts w:ascii="Times New Roman" w:hAnsi="Times New Roman" w:cs="Times New Roman"/>
          <w:sz w:val="24"/>
          <w:szCs w:val="24"/>
        </w:rPr>
        <w:t xml:space="preserve"> </w:t>
      </w:r>
      <w:proofErr w:type="spellStart"/>
      <w:r w:rsidRPr="009C636C">
        <w:rPr>
          <w:rFonts w:ascii="Times New Roman" w:hAnsi="Times New Roman" w:cs="Times New Roman"/>
          <w:i/>
          <w:sz w:val="24"/>
          <w:szCs w:val="24"/>
        </w:rPr>
        <w:t>eur</w:t>
      </w:r>
      <w:r w:rsidRPr="009C636C">
        <w:rPr>
          <w:rFonts w:ascii="Times New Roman" w:hAnsi="Times New Roman" w:cs="Times New Roman"/>
          <w:sz w:val="24"/>
          <w:szCs w:val="24"/>
        </w:rPr>
        <w:t>o</w:t>
      </w:r>
      <w:proofErr w:type="spellEnd"/>
      <w:r w:rsidRPr="009C636C">
        <w:rPr>
          <w:rFonts w:ascii="Times New Roman" w:hAnsi="Times New Roman" w:cs="Times New Roman"/>
          <w:sz w:val="24"/>
          <w:szCs w:val="24"/>
        </w:rPr>
        <w:t xml:space="preserve"> par normatīvo m2).</w:t>
      </w:r>
      <w:r>
        <w:rPr>
          <w:rFonts w:ascii="Times New Roman" w:hAnsi="Times New Roman" w:cs="Times New Roman"/>
          <w:sz w:val="24"/>
          <w:szCs w:val="24"/>
        </w:rPr>
        <w:t xml:space="preserve"> Ar </w:t>
      </w:r>
      <w:proofErr w:type="gramStart"/>
      <w:r>
        <w:rPr>
          <w:rFonts w:ascii="Times New Roman" w:hAnsi="Times New Roman" w:cs="Times New Roman"/>
          <w:sz w:val="24"/>
          <w:szCs w:val="24"/>
        </w:rPr>
        <w:t>2016.gadu</w:t>
      </w:r>
      <w:proofErr w:type="gramEnd"/>
      <w:r>
        <w:rPr>
          <w:rFonts w:ascii="Times New Roman" w:hAnsi="Times New Roman" w:cs="Times New Roman"/>
          <w:sz w:val="24"/>
          <w:szCs w:val="24"/>
        </w:rPr>
        <w:t xml:space="preserve"> tiks nodrošinātas jaunas atbalsta formas – ree</w:t>
      </w:r>
      <w:r w:rsidRPr="009C636C">
        <w:rPr>
          <w:rFonts w:ascii="Times New Roman" w:hAnsi="Times New Roman" w:cs="Times New Roman"/>
          <w:sz w:val="24"/>
          <w:szCs w:val="24"/>
        </w:rPr>
        <w:t xml:space="preserve">migrācijas pabalsts, pabalsts bērna, kuram noteikta invaliditāte,  aprūpei. </w:t>
      </w:r>
    </w:p>
    <w:p w:rsidR="00B403E9" w:rsidRPr="009B21DE" w:rsidRDefault="00B403E9" w:rsidP="00B403E9">
      <w:pPr>
        <w:jc w:val="both"/>
        <w:rPr>
          <w:rFonts w:ascii="Times New Roman" w:hAnsi="Times New Roman" w:cs="Times New Roman"/>
          <w:b/>
          <w:sz w:val="24"/>
          <w:szCs w:val="24"/>
        </w:rPr>
      </w:pPr>
      <w:r w:rsidRPr="009B21DE">
        <w:rPr>
          <w:rFonts w:ascii="Times New Roman" w:hAnsi="Times New Roman" w:cs="Times New Roman"/>
          <w:b/>
          <w:sz w:val="24"/>
          <w:szCs w:val="24"/>
        </w:rPr>
        <w:t>Speciālais budžets</w:t>
      </w:r>
    </w:p>
    <w:p w:rsidR="00B403E9" w:rsidRDefault="00B403E9" w:rsidP="00B403E9">
      <w:pPr>
        <w:jc w:val="both"/>
        <w:rPr>
          <w:rFonts w:ascii="Times New Roman" w:hAnsi="Times New Roman" w:cs="Times New Roman"/>
          <w:sz w:val="24"/>
          <w:szCs w:val="24"/>
        </w:rPr>
      </w:pPr>
      <w:r w:rsidRPr="009B21DE">
        <w:rPr>
          <w:rFonts w:ascii="Times New Roman" w:hAnsi="Times New Roman" w:cs="Times New Roman"/>
          <w:sz w:val="24"/>
          <w:szCs w:val="24"/>
        </w:rPr>
        <w:t xml:space="preserve">Tukuma novada pašvaldības speciālo budžetu veido Dabas resursu nodoklis un Autoceļa fonda ieņēmumi. Kopējie ieņēmumi ir </w:t>
      </w:r>
      <w:r>
        <w:rPr>
          <w:rFonts w:ascii="Times New Roman" w:hAnsi="Times New Roman" w:cs="Times New Roman"/>
          <w:sz w:val="24"/>
          <w:szCs w:val="24"/>
        </w:rPr>
        <w:t>840 627</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Pr>
          <w:rFonts w:ascii="Times New Roman" w:hAnsi="Times New Roman" w:cs="Times New Roman"/>
          <w:sz w:val="24"/>
          <w:szCs w:val="24"/>
        </w:rPr>
        <w:t>, izdevumi – 937 124</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atlikums uz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1.janvāri ir</w:t>
      </w:r>
      <w:r w:rsidRPr="009B21DE">
        <w:rPr>
          <w:rFonts w:ascii="Times New Roman" w:hAnsi="Times New Roman" w:cs="Times New Roman"/>
          <w:sz w:val="24"/>
          <w:szCs w:val="24"/>
        </w:rPr>
        <w:t xml:space="preserve"> </w:t>
      </w:r>
      <w:r>
        <w:rPr>
          <w:rFonts w:ascii="Times New Roman" w:hAnsi="Times New Roman" w:cs="Times New Roman"/>
          <w:sz w:val="24"/>
          <w:szCs w:val="24"/>
        </w:rPr>
        <w:t>96 497</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xml:space="preserve">. Speciālā budžeta ieņēmumi un izdevumi novadā </w:t>
      </w:r>
      <w:r>
        <w:rPr>
          <w:rFonts w:ascii="Times New Roman" w:hAnsi="Times New Roman" w:cs="Times New Roman"/>
          <w:sz w:val="24"/>
          <w:szCs w:val="24"/>
        </w:rPr>
        <w:t xml:space="preserve">ir </w:t>
      </w:r>
      <w:r w:rsidRPr="009B21DE">
        <w:rPr>
          <w:rFonts w:ascii="Times New Roman" w:hAnsi="Times New Roman" w:cs="Times New Roman"/>
          <w:sz w:val="24"/>
          <w:szCs w:val="24"/>
        </w:rPr>
        <w:t xml:space="preserve">centralizēti. Dabas resursa nodokļa ieņēmumi tiek plānoti lietus ūdeņu savākšanai, attīrīšanai, strūklaku apkalpošanai, atkritumu savākšanai, ūdens paraugu analīžu veikšanai, latvāņu pļaušanai un citiem izdevumiem, kuri saistīti ar vides aizsardzību novadā. </w:t>
      </w:r>
      <w:r>
        <w:rPr>
          <w:rFonts w:ascii="Times New Roman" w:hAnsi="Times New Roman" w:cs="Times New Roman"/>
          <w:sz w:val="24"/>
          <w:szCs w:val="24"/>
        </w:rPr>
        <w:t>A</w:t>
      </w:r>
      <w:r w:rsidRPr="009B21DE">
        <w:rPr>
          <w:rFonts w:ascii="Times New Roman" w:hAnsi="Times New Roman" w:cs="Times New Roman"/>
          <w:sz w:val="24"/>
          <w:szCs w:val="24"/>
        </w:rPr>
        <w:t>utoceļa fonda ieņēmumu (</w:t>
      </w:r>
      <w:r>
        <w:rPr>
          <w:rFonts w:ascii="Times New Roman" w:hAnsi="Times New Roman" w:cs="Times New Roman"/>
          <w:sz w:val="24"/>
          <w:szCs w:val="24"/>
        </w:rPr>
        <w:t>740 627</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 un atlikuma (</w:t>
      </w:r>
      <w:r>
        <w:rPr>
          <w:rFonts w:ascii="Times New Roman" w:hAnsi="Times New Roman" w:cs="Times New Roman"/>
          <w:sz w:val="24"/>
          <w:szCs w:val="24"/>
        </w:rPr>
        <w:t>69 795</w:t>
      </w:r>
      <w:r w:rsidRPr="009B21DE">
        <w:rPr>
          <w:rFonts w:ascii="Times New Roman" w:hAnsi="Times New Roman" w:cs="Times New Roman"/>
          <w:sz w:val="24"/>
          <w:szCs w:val="24"/>
        </w:rPr>
        <w:t xml:space="preserve"> </w:t>
      </w:r>
      <w:proofErr w:type="spellStart"/>
      <w:r w:rsidRPr="009B21DE">
        <w:rPr>
          <w:rFonts w:ascii="Times New Roman" w:hAnsi="Times New Roman" w:cs="Times New Roman"/>
          <w:i/>
          <w:sz w:val="24"/>
          <w:szCs w:val="24"/>
        </w:rPr>
        <w:t>euro</w:t>
      </w:r>
      <w:proofErr w:type="spellEnd"/>
      <w:r w:rsidRPr="009B21DE">
        <w:rPr>
          <w:rFonts w:ascii="Times New Roman" w:hAnsi="Times New Roman" w:cs="Times New Roman"/>
          <w:sz w:val="24"/>
          <w:szCs w:val="24"/>
        </w:rPr>
        <w:t>)</w:t>
      </w:r>
      <w:r>
        <w:rPr>
          <w:rFonts w:ascii="Times New Roman" w:hAnsi="Times New Roman" w:cs="Times New Roman"/>
          <w:sz w:val="24"/>
          <w:szCs w:val="24"/>
        </w:rPr>
        <w:t xml:space="preserve"> sadalījums novadā parādīts 3</w:t>
      </w:r>
      <w:r w:rsidRPr="009B21DE">
        <w:rPr>
          <w:rFonts w:ascii="Times New Roman" w:hAnsi="Times New Roman" w:cs="Times New Roman"/>
          <w:sz w:val="24"/>
          <w:szCs w:val="24"/>
        </w:rPr>
        <w:t>.attēlā.</w:t>
      </w:r>
    </w:p>
    <w:p w:rsidR="00B403E9" w:rsidRPr="00D3498D" w:rsidRDefault="00B403E9" w:rsidP="00B403E9">
      <w:pPr>
        <w:jc w:val="both"/>
        <w:rPr>
          <w:rFonts w:ascii="Times New Roman" w:hAnsi="Times New Roman" w:cs="Times New Roman"/>
          <w:i/>
          <w:sz w:val="24"/>
          <w:szCs w:val="24"/>
        </w:rPr>
      </w:pPr>
      <w:r w:rsidRPr="00D3498D">
        <w:rPr>
          <w:rFonts w:ascii="Times New Roman" w:hAnsi="Times New Roman" w:cs="Times New Roman"/>
          <w:i/>
          <w:sz w:val="24"/>
          <w:szCs w:val="24"/>
        </w:rPr>
        <w:t>3.attēls</w:t>
      </w:r>
      <w:r>
        <w:rPr>
          <w:rFonts w:ascii="Times New Roman" w:hAnsi="Times New Roman" w:cs="Times New Roman"/>
          <w:i/>
          <w:sz w:val="24"/>
          <w:szCs w:val="24"/>
        </w:rPr>
        <w:t>.</w:t>
      </w:r>
      <w:r w:rsidRPr="00D3498D">
        <w:rPr>
          <w:rFonts w:ascii="Times New Roman" w:hAnsi="Times New Roman" w:cs="Times New Roman"/>
          <w:i/>
          <w:sz w:val="24"/>
          <w:szCs w:val="24"/>
        </w:rPr>
        <w:t xml:space="preserve"> Plānotais autoceļa fonda ieņēmumu un atlikuma sadalījums novadā</w:t>
      </w:r>
    </w:p>
    <w:p w:rsidR="00B403E9" w:rsidRPr="009B21DE" w:rsidRDefault="00B403E9" w:rsidP="00B403E9">
      <w:pPr>
        <w:jc w:val="both"/>
        <w:rPr>
          <w:rFonts w:ascii="Times New Roman" w:hAnsi="Times New Roman" w:cs="Times New Roman"/>
          <w:sz w:val="24"/>
          <w:szCs w:val="24"/>
        </w:rPr>
      </w:pPr>
      <w:r w:rsidRPr="003A6190">
        <w:rPr>
          <w:rFonts w:eastAsia="Calibri"/>
          <w:noProof/>
          <w:szCs w:val="24"/>
          <w:lang w:eastAsia="lv-LV"/>
        </w:rPr>
        <w:drawing>
          <wp:inline distT="0" distB="0" distL="0" distR="0" wp14:anchorId="6514209A" wp14:editId="50339414">
            <wp:extent cx="5486400" cy="3444240"/>
            <wp:effectExtent l="38100" t="0" r="19050" b="228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403E9" w:rsidRPr="009B21DE" w:rsidRDefault="00B403E9" w:rsidP="00B403E9">
      <w:pPr>
        <w:jc w:val="both"/>
        <w:rPr>
          <w:rFonts w:ascii="Times New Roman" w:hAnsi="Times New Roman" w:cs="Times New Roman"/>
          <w:sz w:val="24"/>
          <w:szCs w:val="24"/>
        </w:rPr>
      </w:pPr>
    </w:p>
    <w:p w:rsidR="00B403E9" w:rsidRPr="00E5747B" w:rsidRDefault="00B403E9" w:rsidP="00B403E9">
      <w:pPr>
        <w:jc w:val="both"/>
        <w:rPr>
          <w:rFonts w:ascii="Times New Roman" w:hAnsi="Times New Roman" w:cs="Times New Roman"/>
          <w:sz w:val="24"/>
          <w:szCs w:val="24"/>
        </w:rPr>
      </w:pPr>
      <w:r w:rsidRPr="009B21DE">
        <w:rPr>
          <w:rFonts w:ascii="Times New Roman" w:hAnsi="Times New Roman" w:cs="Times New Roman"/>
          <w:sz w:val="24"/>
          <w:szCs w:val="24"/>
        </w:rPr>
        <w:tab/>
      </w:r>
      <w:proofErr w:type="gramStart"/>
      <w:r>
        <w:rPr>
          <w:rFonts w:ascii="Times New Roman" w:hAnsi="Times New Roman" w:cs="Times New Roman"/>
          <w:sz w:val="24"/>
          <w:szCs w:val="24"/>
        </w:rPr>
        <w:t>2016</w:t>
      </w:r>
      <w:r w:rsidRPr="009B21DE">
        <w:rPr>
          <w:rFonts w:ascii="Times New Roman" w:hAnsi="Times New Roman" w:cs="Times New Roman"/>
          <w:sz w:val="24"/>
          <w:szCs w:val="24"/>
        </w:rPr>
        <w:t>.gada</w:t>
      </w:r>
      <w:proofErr w:type="gramEnd"/>
      <w:r w:rsidRPr="009B21DE">
        <w:rPr>
          <w:rFonts w:ascii="Times New Roman" w:hAnsi="Times New Roman" w:cs="Times New Roman"/>
          <w:sz w:val="24"/>
          <w:szCs w:val="24"/>
        </w:rPr>
        <w:t xml:space="preserve"> Tukuma pašvaldības budžeta ieņēmumu un izdevumu daļa ir sagatavota sabalansēta un lielākais atbalsts ir izglītībai, kultūrai, sportam un pašvaldības teritorijas un mājokļu </w:t>
      </w:r>
      <w:r w:rsidRPr="009B21DE">
        <w:rPr>
          <w:rFonts w:ascii="Times New Roman" w:hAnsi="Times New Roman" w:cs="Times New Roman"/>
          <w:sz w:val="24"/>
          <w:szCs w:val="24"/>
        </w:rPr>
        <w:lastRenderedPageBreak/>
        <w:t xml:space="preserve">sakārtošanai. Šīs sfēras šogad ir noteiktas par prioritārām. Tāpat galvenais uzsvars novada attīstībai ir īstenot projektus ar Eiropas Savienības līdzfinansējumu, jo novadā ir nepieciešamas investīcijas infrastruktūrā, izglītības un kultūras iestādēs. </w:t>
      </w:r>
      <w:r>
        <w:rPr>
          <w:rFonts w:ascii="Times New Roman" w:hAnsi="Times New Roman" w:cs="Times New Roman"/>
          <w:sz w:val="24"/>
          <w:szCs w:val="24"/>
        </w:rPr>
        <w:t xml:space="preserve"> </w:t>
      </w:r>
    </w:p>
    <w:p w:rsidR="00B403E9" w:rsidRDefault="00B403E9" w:rsidP="00B403E9">
      <w:pPr>
        <w:spacing w:after="0"/>
        <w:jc w:val="both"/>
        <w:rPr>
          <w:rFonts w:ascii="Times New Roman" w:eastAsia="Calibri" w:hAnsi="Times New Roman" w:cs="Times New Roman"/>
          <w:sz w:val="24"/>
          <w:szCs w:val="24"/>
        </w:rPr>
      </w:pPr>
      <w:r w:rsidRPr="009B21DE">
        <w:rPr>
          <w:rFonts w:ascii="Times New Roman" w:eastAsia="Calibri" w:hAnsi="Times New Roman" w:cs="Times New Roman"/>
          <w:sz w:val="24"/>
          <w:szCs w:val="24"/>
        </w:rPr>
        <w:tab/>
      </w:r>
      <w:r>
        <w:rPr>
          <w:rFonts w:ascii="Times New Roman" w:eastAsia="Calibri" w:hAnsi="Times New Roman" w:cs="Times New Roman"/>
          <w:sz w:val="24"/>
          <w:szCs w:val="24"/>
        </w:rPr>
        <w:t>Tukuma novada Dome ir noteikusi galvenās 2016.</w:t>
      </w:r>
      <w:r w:rsidRPr="009B21DE">
        <w:rPr>
          <w:rFonts w:ascii="Times New Roman" w:eastAsia="Calibri" w:hAnsi="Times New Roman" w:cs="Times New Roman"/>
          <w:sz w:val="24"/>
          <w:szCs w:val="24"/>
        </w:rPr>
        <w:t xml:space="preserve"> un turpmāko gadu </w:t>
      </w:r>
      <w:r>
        <w:rPr>
          <w:rFonts w:ascii="Times New Roman" w:eastAsia="Calibri" w:hAnsi="Times New Roman" w:cs="Times New Roman"/>
          <w:sz w:val="24"/>
          <w:szCs w:val="24"/>
        </w:rPr>
        <w:t>prioritātes</w:t>
      </w:r>
      <w:r w:rsidRPr="009B21DE">
        <w:rPr>
          <w:rFonts w:ascii="Times New Roman" w:eastAsia="Calibri" w:hAnsi="Times New Roman" w:cs="Times New Roman"/>
          <w:sz w:val="24"/>
          <w:szCs w:val="24"/>
        </w:rPr>
        <w:t xml:space="preserve"> par kopējo summu </w:t>
      </w:r>
      <w:r w:rsidRPr="00467E9D">
        <w:rPr>
          <w:rFonts w:ascii="Times New Roman" w:eastAsia="Times New Roman" w:hAnsi="Times New Roman" w:cs="Times New Roman"/>
          <w:bCs/>
          <w:color w:val="000000"/>
          <w:sz w:val="24"/>
          <w:szCs w:val="24"/>
          <w:lang w:eastAsia="lv-LV"/>
        </w:rPr>
        <w:t>2</w:t>
      </w:r>
      <w:r>
        <w:rPr>
          <w:rFonts w:ascii="Times New Roman" w:eastAsia="Times New Roman" w:hAnsi="Times New Roman" w:cs="Times New Roman"/>
          <w:bCs/>
          <w:color w:val="000000"/>
          <w:sz w:val="24"/>
          <w:szCs w:val="24"/>
          <w:lang w:eastAsia="lv-LV"/>
        </w:rPr>
        <w:t xml:space="preserve"> 005 013 </w:t>
      </w:r>
      <w:proofErr w:type="spellStart"/>
      <w:r w:rsidRPr="00467E9D">
        <w:rPr>
          <w:rFonts w:ascii="Times New Roman" w:eastAsia="Calibri" w:hAnsi="Times New Roman" w:cs="Times New Roman"/>
          <w:i/>
          <w:sz w:val="24"/>
          <w:szCs w:val="24"/>
        </w:rPr>
        <w:t>euro</w:t>
      </w:r>
      <w:proofErr w:type="spellEnd"/>
      <w:r>
        <w:rPr>
          <w:rFonts w:ascii="Times New Roman" w:eastAsia="Calibri" w:hAnsi="Times New Roman" w:cs="Times New Roman"/>
          <w:sz w:val="24"/>
          <w:szCs w:val="24"/>
        </w:rPr>
        <w:t>. Ar prioritāšu</w:t>
      </w:r>
      <w:r w:rsidRPr="009B21DE">
        <w:rPr>
          <w:rFonts w:ascii="Times New Roman" w:eastAsia="Calibri" w:hAnsi="Times New Roman" w:cs="Times New Roman"/>
          <w:sz w:val="24"/>
          <w:szCs w:val="24"/>
        </w:rPr>
        <w:t xml:space="preserve"> atšifr</w:t>
      </w:r>
      <w:r>
        <w:rPr>
          <w:rFonts w:ascii="Times New Roman" w:eastAsia="Calibri" w:hAnsi="Times New Roman" w:cs="Times New Roman"/>
          <w:sz w:val="24"/>
          <w:szCs w:val="24"/>
        </w:rPr>
        <w:t xml:space="preserve">ējumu var iepazīties pašvaldības </w:t>
      </w:r>
      <w:proofErr w:type="gramStart"/>
      <w:r>
        <w:rPr>
          <w:rFonts w:ascii="Times New Roman" w:eastAsia="Calibri" w:hAnsi="Times New Roman" w:cs="Times New Roman"/>
          <w:sz w:val="24"/>
          <w:szCs w:val="24"/>
        </w:rPr>
        <w:t>mājas lapā</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www.tukums.lv</w:t>
      </w:r>
      <w:proofErr w:type="spellEnd"/>
      <w:r>
        <w:rPr>
          <w:rFonts w:ascii="Times New Roman" w:eastAsia="Calibri" w:hAnsi="Times New Roman" w:cs="Times New Roman"/>
          <w:sz w:val="24"/>
          <w:szCs w:val="24"/>
        </w:rPr>
        <w:t>. Ja palielināsies budžeta ieņēmumi, deputāti ar Domes lēmumu veiks</w:t>
      </w:r>
      <w:r w:rsidRPr="009B21DE">
        <w:rPr>
          <w:rFonts w:ascii="Times New Roman" w:eastAsia="Calibri" w:hAnsi="Times New Roman" w:cs="Times New Roman"/>
          <w:sz w:val="24"/>
          <w:szCs w:val="24"/>
        </w:rPr>
        <w:t xml:space="preserve"> budžeta grozījumus </w:t>
      </w:r>
      <w:r>
        <w:rPr>
          <w:rFonts w:ascii="Times New Roman" w:eastAsia="Calibri" w:hAnsi="Times New Roman" w:cs="Times New Roman"/>
          <w:sz w:val="24"/>
          <w:szCs w:val="24"/>
        </w:rPr>
        <w:t xml:space="preserve">un piešķirs finansējumu kādai no prioritātēm. </w:t>
      </w:r>
    </w:p>
    <w:p w:rsidR="00B403E9" w:rsidRDefault="00B403E9" w:rsidP="00B403E9">
      <w:pPr>
        <w:pStyle w:val="NormalWeb"/>
        <w:spacing w:before="0" w:beforeAutospacing="0" w:after="0" w:afterAutospacing="0" w:line="276" w:lineRule="auto"/>
        <w:jc w:val="both"/>
        <w:rPr>
          <w:color w:val="000000"/>
        </w:rPr>
      </w:pPr>
      <w:r>
        <w:rPr>
          <w:rFonts w:eastAsia="Calibri"/>
        </w:rPr>
        <w:tab/>
      </w:r>
      <w:r w:rsidRPr="00A45D12">
        <w:rPr>
          <w:color w:val="000000"/>
        </w:rPr>
        <w:t>Atbilstīgi Tukuma novada attīstības programmas 2015.-</w:t>
      </w:r>
      <w:proofErr w:type="gramStart"/>
      <w:r w:rsidRPr="00A45D12">
        <w:rPr>
          <w:color w:val="000000"/>
        </w:rPr>
        <w:t>2021.</w:t>
      </w:r>
      <w:r>
        <w:rPr>
          <w:color w:val="000000"/>
        </w:rPr>
        <w:t>gadam</w:t>
      </w:r>
      <w:proofErr w:type="gramEnd"/>
      <w:r>
        <w:rPr>
          <w:color w:val="000000"/>
        </w:rPr>
        <w:t xml:space="preserve"> Investīciju plānam, 2016.gadā tiks</w:t>
      </w:r>
      <w:r w:rsidRPr="00A45D12">
        <w:rPr>
          <w:color w:val="000000"/>
        </w:rPr>
        <w:t xml:space="preserve"> uzsākt</w:t>
      </w:r>
      <w:r>
        <w:rPr>
          <w:color w:val="000000"/>
        </w:rPr>
        <w:t>a</w:t>
      </w:r>
      <w:r w:rsidRPr="00A45D12">
        <w:rPr>
          <w:color w:val="000000"/>
        </w:rPr>
        <w:t xml:space="preserve"> vairāku lielu investīciju p</w:t>
      </w:r>
      <w:r>
        <w:rPr>
          <w:color w:val="000000"/>
        </w:rPr>
        <w:t>rojektu īstenošana</w:t>
      </w:r>
      <w:r w:rsidRPr="00A45D12">
        <w:rPr>
          <w:color w:val="000000"/>
        </w:rPr>
        <w:t xml:space="preserve"> pilsētā un pagastos. Tukuma p</w:t>
      </w:r>
      <w:r>
        <w:rPr>
          <w:color w:val="000000"/>
        </w:rPr>
        <w:t>ilsētā paredzēta projekta “</w:t>
      </w:r>
      <w:r w:rsidRPr="00A45D12">
        <w:rPr>
          <w:color w:val="000000"/>
        </w:rPr>
        <w:t>Degradētās teritorijas sakārto</w:t>
      </w:r>
      <w:r>
        <w:rPr>
          <w:color w:val="000000"/>
        </w:rPr>
        <w:t>šana zonā Lauktehnika-Tukums II” īstenošana,</w:t>
      </w:r>
      <w:r w:rsidRPr="00A45D12">
        <w:rPr>
          <w:color w:val="000000"/>
        </w:rPr>
        <w:t xml:space="preserve"> kura</w:t>
      </w:r>
      <w:r>
        <w:rPr>
          <w:color w:val="000000"/>
        </w:rPr>
        <w:t>s</w:t>
      </w:r>
      <w:r w:rsidRPr="00A45D12">
        <w:rPr>
          <w:color w:val="000000"/>
        </w:rPr>
        <w:t xml:space="preserve"> ietvaros tiks sakārtota industriālā teritorija starp Kandavas un Stacijas ielām, kā arī sakārtota</w:t>
      </w:r>
      <w:r>
        <w:rPr>
          <w:color w:val="000000"/>
        </w:rPr>
        <w:t>s</w:t>
      </w:r>
      <w:r w:rsidRPr="00A45D12">
        <w:rPr>
          <w:color w:val="000000"/>
        </w:rPr>
        <w:t xml:space="preserve"> </w:t>
      </w:r>
      <w:proofErr w:type="spellStart"/>
      <w:r w:rsidRPr="00A45D12">
        <w:rPr>
          <w:color w:val="000000"/>
        </w:rPr>
        <w:t>Vilkājas</w:t>
      </w:r>
      <w:proofErr w:type="spellEnd"/>
      <w:r w:rsidRPr="00A45D12">
        <w:rPr>
          <w:color w:val="000000"/>
        </w:rPr>
        <w:t>, Rūdas iela</w:t>
      </w:r>
      <w:r>
        <w:rPr>
          <w:color w:val="000000"/>
        </w:rPr>
        <w:t>s</w:t>
      </w:r>
      <w:r w:rsidRPr="00A45D12">
        <w:rPr>
          <w:color w:val="000000"/>
        </w:rPr>
        <w:t xml:space="preserve"> un izbūvēta tehniskā infrastruktūra uzņēmējdarbībai paredzētās teritorija</w:t>
      </w:r>
      <w:r>
        <w:rPr>
          <w:color w:val="000000"/>
        </w:rPr>
        <w:t xml:space="preserve">s attīstībai. </w:t>
      </w:r>
      <w:proofErr w:type="gramStart"/>
      <w:r>
        <w:rPr>
          <w:color w:val="000000"/>
        </w:rPr>
        <w:t>2016.gadā</w:t>
      </w:r>
      <w:proofErr w:type="gramEnd"/>
      <w:r>
        <w:rPr>
          <w:color w:val="000000"/>
        </w:rPr>
        <w:t xml:space="preserve"> uzsāksim</w:t>
      </w:r>
      <w:r w:rsidRPr="00A45D12">
        <w:rPr>
          <w:color w:val="000000"/>
        </w:rPr>
        <w:t xml:space="preserve"> </w:t>
      </w:r>
      <w:r>
        <w:rPr>
          <w:color w:val="000000"/>
        </w:rPr>
        <w:t>Parādes ielas pārbūvi projekta “</w:t>
      </w:r>
      <w:r w:rsidRPr="00A45D12">
        <w:rPr>
          <w:color w:val="000000"/>
        </w:rPr>
        <w:t>Rūpnieciskās zo</w:t>
      </w:r>
      <w:r>
        <w:rPr>
          <w:color w:val="000000"/>
        </w:rPr>
        <w:t xml:space="preserve">nas attīstība </w:t>
      </w:r>
      <w:proofErr w:type="spellStart"/>
      <w:r>
        <w:rPr>
          <w:color w:val="000000"/>
        </w:rPr>
        <w:t>Jauntukuma</w:t>
      </w:r>
      <w:proofErr w:type="spellEnd"/>
      <w:r>
        <w:rPr>
          <w:color w:val="000000"/>
        </w:rPr>
        <w:t xml:space="preserve"> rajonā” ietvaros un sakārtosim</w:t>
      </w:r>
      <w:r w:rsidRPr="00A45D12">
        <w:rPr>
          <w:color w:val="000000"/>
        </w:rPr>
        <w:t xml:space="preserve"> infrastruktūru </w:t>
      </w:r>
      <w:proofErr w:type="spellStart"/>
      <w:r w:rsidRPr="00A45D12">
        <w:rPr>
          <w:color w:val="000000"/>
        </w:rPr>
        <w:t>Mel</w:t>
      </w:r>
      <w:r>
        <w:rPr>
          <w:color w:val="000000"/>
        </w:rPr>
        <w:t>nezera-</w:t>
      </w:r>
      <w:proofErr w:type="spellEnd"/>
      <w:r>
        <w:rPr>
          <w:color w:val="000000"/>
        </w:rPr>
        <w:t xml:space="preserve"> </w:t>
      </w:r>
      <w:proofErr w:type="spellStart"/>
      <w:r>
        <w:rPr>
          <w:color w:val="000000"/>
        </w:rPr>
        <w:t>Laustiķa</w:t>
      </w:r>
      <w:proofErr w:type="spellEnd"/>
      <w:r w:rsidRPr="00A45D12">
        <w:rPr>
          <w:color w:val="000000"/>
        </w:rPr>
        <w:t xml:space="preserve"> teritorijā, izbūvējot ūdensvadu, kanalizā</w:t>
      </w:r>
      <w:r>
        <w:rPr>
          <w:color w:val="000000"/>
        </w:rPr>
        <w:t>ciju un siltumtīklus projekta “</w:t>
      </w:r>
      <w:r w:rsidRPr="00A45D12">
        <w:rPr>
          <w:color w:val="000000"/>
        </w:rPr>
        <w:t xml:space="preserve">Degradētās teritorijas sakārtošana </w:t>
      </w:r>
      <w:r>
        <w:rPr>
          <w:color w:val="000000"/>
        </w:rPr>
        <w:t xml:space="preserve">zonā </w:t>
      </w:r>
      <w:proofErr w:type="spellStart"/>
      <w:r>
        <w:rPr>
          <w:color w:val="000000"/>
        </w:rPr>
        <w:t>Melnezera</w:t>
      </w:r>
      <w:proofErr w:type="spellEnd"/>
      <w:r>
        <w:rPr>
          <w:color w:val="000000"/>
        </w:rPr>
        <w:t xml:space="preserve"> iela – </w:t>
      </w:r>
      <w:proofErr w:type="spellStart"/>
      <w:r>
        <w:rPr>
          <w:color w:val="000000"/>
        </w:rPr>
        <w:t>Laustiķis</w:t>
      </w:r>
      <w:proofErr w:type="spellEnd"/>
      <w:r>
        <w:rPr>
          <w:color w:val="000000"/>
        </w:rPr>
        <w:t>”</w:t>
      </w:r>
      <w:r w:rsidRPr="00A45D12">
        <w:rPr>
          <w:color w:val="000000"/>
        </w:rPr>
        <w:t xml:space="preserve"> ietvaros.</w:t>
      </w:r>
      <w:r>
        <w:rPr>
          <w:color w:val="000000"/>
        </w:rPr>
        <w:t xml:space="preserve"> </w:t>
      </w:r>
    </w:p>
    <w:p w:rsidR="00B403E9" w:rsidRPr="00A45D12" w:rsidRDefault="00B403E9" w:rsidP="00B403E9">
      <w:pPr>
        <w:pStyle w:val="NormalWeb"/>
        <w:spacing w:before="0" w:beforeAutospacing="0" w:after="0" w:afterAutospacing="0" w:line="276" w:lineRule="auto"/>
        <w:ind w:firstLine="720"/>
        <w:jc w:val="both"/>
        <w:rPr>
          <w:color w:val="000000"/>
        </w:rPr>
      </w:pPr>
      <w:r w:rsidRPr="00A45D12">
        <w:rPr>
          <w:color w:val="000000"/>
        </w:rPr>
        <w:t>Tukuma pilsētas izglītības iestādēs plānots: izveidot jaunus vai ap</w:t>
      </w:r>
      <w:r>
        <w:rPr>
          <w:color w:val="000000"/>
        </w:rPr>
        <w:t xml:space="preserve">rīkot esošos dabaszinātņu kabinetus; </w:t>
      </w:r>
      <w:r w:rsidRPr="00A45D12">
        <w:rPr>
          <w:color w:val="000000"/>
        </w:rPr>
        <w:t xml:space="preserve">ieviest </w:t>
      </w:r>
      <w:r>
        <w:rPr>
          <w:color w:val="000000"/>
        </w:rPr>
        <w:t>informācijas un komunikācijas tehnoloģiju (</w:t>
      </w:r>
      <w:r w:rsidRPr="00A45D12">
        <w:rPr>
          <w:color w:val="000000"/>
        </w:rPr>
        <w:t>IKT</w:t>
      </w:r>
      <w:r>
        <w:rPr>
          <w:color w:val="000000"/>
        </w:rPr>
        <w:t>)</w:t>
      </w:r>
      <w:r w:rsidRPr="00A45D12">
        <w:rPr>
          <w:color w:val="000000"/>
        </w:rPr>
        <w:t xml:space="preserve"> risinājumus un IKT aprīko</w:t>
      </w:r>
      <w:r>
        <w:rPr>
          <w:color w:val="000000"/>
        </w:rPr>
        <w:t xml:space="preserve">jumu mācību procesa īstenošanai; </w:t>
      </w:r>
      <w:r w:rsidRPr="00A45D12">
        <w:rPr>
          <w:color w:val="000000"/>
        </w:rPr>
        <w:t>izveidot ergonomisku mācību vidi, t.sk., veikt būvdarbus, iegādāt mācību klase</w:t>
      </w:r>
      <w:r>
        <w:rPr>
          <w:color w:val="000000"/>
        </w:rPr>
        <w:t>s aprīkojumu, mēbeles, uzstādīt</w:t>
      </w:r>
      <w:r w:rsidRPr="00A45D12">
        <w:rPr>
          <w:color w:val="000000"/>
        </w:rPr>
        <w:t xml:space="preserve"> apgaismoju, lai izveidotu ergonomisku un mū</w:t>
      </w:r>
      <w:r>
        <w:rPr>
          <w:color w:val="000000"/>
        </w:rPr>
        <w:t xml:space="preserve">sdienu prasībām atbilstošu vidi; </w:t>
      </w:r>
      <w:r w:rsidRPr="00A45D12">
        <w:rPr>
          <w:color w:val="000000"/>
        </w:rPr>
        <w:t xml:space="preserve">sakārtot sporta zāles un </w:t>
      </w:r>
      <w:r>
        <w:rPr>
          <w:color w:val="000000"/>
        </w:rPr>
        <w:t>stadionus, t.sk., veikt būvdarbus</w:t>
      </w:r>
      <w:r w:rsidRPr="00A45D12">
        <w:rPr>
          <w:color w:val="000000"/>
        </w:rPr>
        <w:t xml:space="preserve">, </w:t>
      </w:r>
      <w:proofErr w:type="gramStart"/>
      <w:r w:rsidRPr="00A45D12">
        <w:rPr>
          <w:color w:val="000000"/>
        </w:rPr>
        <w:t>nodrošinot vajadzības vairākām izglītības iestādēm</w:t>
      </w:r>
      <w:proofErr w:type="gramEnd"/>
      <w:r w:rsidRPr="00A45D12">
        <w:rPr>
          <w:color w:val="000000"/>
        </w:rPr>
        <w:t xml:space="preserve"> un iegādāt sporta aprīkoju</w:t>
      </w:r>
      <w:r>
        <w:rPr>
          <w:color w:val="000000"/>
        </w:rPr>
        <w:t>mu</w:t>
      </w:r>
      <w:r w:rsidRPr="00A45D12">
        <w:rPr>
          <w:color w:val="000000"/>
        </w:rPr>
        <w:t>.</w:t>
      </w:r>
    </w:p>
    <w:p w:rsidR="00B403E9" w:rsidRPr="00A45D12" w:rsidRDefault="00B403E9" w:rsidP="00B403E9">
      <w:pPr>
        <w:spacing w:after="0"/>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v-LV"/>
        </w:rPr>
        <w:t>Pagastos paredzēts</w:t>
      </w:r>
      <w:r w:rsidRPr="00A45D12">
        <w:rPr>
          <w:rFonts w:ascii="Times New Roman" w:eastAsia="Times New Roman" w:hAnsi="Times New Roman" w:cs="Times New Roman"/>
          <w:color w:val="000000"/>
          <w:sz w:val="24"/>
          <w:szCs w:val="24"/>
          <w:lang w:eastAsia="lv-LV"/>
        </w:rPr>
        <w:t xml:space="preserve"> uzsākt Eiropas Lauksaimniecības f</w:t>
      </w:r>
      <w:r>
        <w:rPr>
          <w:rFonts w:ascii="Times New Roman" w:eastAsia="Times New Roman" w:hAnsi="Times New Roman" w:cs="Times New Roman"/>
          <w:color w:val="000000"/>
          <w:sz w:val="24"/>
          <w:szCs w:val="24"/>
          <w:lang w:eastAsia="lv-LV"/>
        </w:rPr>
        <w:t>onda lauku attīstības projekta “</w:t>
      </w:r>
      <w:r w:rsidRPr="00A45D12">
        <w:rPr>
          <w:rFonts w:ascii="Times New Roman" w:eastAsia="Times New Roman" w:hAnsi="Times New Roman" w:cs="Times New Roman"/>
          <w:color w:val="000000"/>
          <w:sz w:val="24"/>
          <w:szCs w:val="24"/>
          <w:lang w:eastAsia="lv-LV"/>
        </w:rPr>
        <w:t>Pašvaldības</w:t>
      </w:r>
      <w:r>
        <w:rPr>
          <w:rFonts w:ascii="Times New Roman" w:eastAsia="Times New Roman" w:hAnsi="Times New Roman" w:cs="Times New Roman"/>
          <w:color w:val="000000"/>
          <w:sz w:val="24"/>
          <w:szCs w:val="24"/>
          <w:lang w:eastAsia="lv-LV"/>
        </w:rPr>
        <w:t xml:space="preserve"> autoceļu pārbūve Tukuma novadā”</w:t>
      </w:r>
      <w:r w:rsidRPr="00A45D12">
        <w:rPr>
          <w:rFonts w:ascii="Times New Roman" w:eastAsia="Times New Roman" w:hAnsi="Times New Roman" w:cs="Times New Roman"/>
          <w:color w:val="000000"/>
          <w:sz w:val="24"/>
          <w:szCs w:val="24"/>
          <w:lang w:eastAsia="lv-LV"/>
        </w:rPr>
        <w:t xml:space="preserve"> īstenošanu, pārbūvējot 15 pašvaldības autoceļu posmus ar grants segumu 43,7 km garumā.</w:t>
      </w:r>
    </w:p>
    <w:p w:rsidR="002F75FE" w:rsidRDefault="002F75FE">
      <w:bookmarkStart w:id="0" w:name="_GoBack"/>
      <w:bookmarkEnd w:id="0"/>
    </w:p>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Open Sans">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E9"/>
    <w:rsid w:val="002F75FE"/>
    <w:rsid w:val="009F59B6"/>
    <w:rsid w:val="00B403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4EC74-DB59-4E1A-8A54-41C389F8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3E9"/>
    <w:pPr>
      <w:spacing w:after="200" w:line="276" w:lineRule="auto"/>
      <w:ind w:firstLine="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03E9"/>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11844391828643797"/>
          <c:w val="0.94462041928303753"/>
          <c:h val="0.87966227997724056"/>
        </c:manualLayout>
      </c:layout>
      <c:pie3DChart>
        <c:varyColors val="1"/>
        <c:ser>
          <c:idx val="0"/>
          <c:order val="0"/>
          <c:tx>
            <c:strRef>
              <c:f>Sheet1!$B$1</c:f>
              <c:strCache>
                <c:ptCount val="1"/>
                <c:pt idx="0">
                  <c:v>Column1</c:v>
                </c:pt>
              </c:strCache>
            </c:strRef>
          </c:tx>
          <c:explosion val="12"/>
          <c:dLbls>
            <c:dLbl>
              <c:idx val="1"/>
              <c:layout>
                <c:manualLayout>
                  <c:x val="0.18005598192630975"/>
                  <c:y val="-0.10284382284382285"/>
                </c:manualLayout>
              </c:layout>
              <c:showLegendKey val="0"/>
              <c:showVal val="1"/>
              <c:showCatName val="1"/>
              <c:showSerName val="0"/>
              <c:showPercent val="1"/>
              <c:showBubbleSize val="0"/>
              <c:extLst>
                <c:ext xmlns:c15="http://schemas.microsoft.com/office/drawing/2012/chart" uri="{CE6537A1-D6FC-4f65-9D91-7224C49458BB}"/>
              </c:extLst>
            </c:dLbl>
            <c:dLbl>
              <c:idx val="2"/>
              <c:layout>
                <c:manualLayout>
                  <c:x val="6.1737931492741203E-3"/>
                  <c:y val="-2.7505827505827796E-3"/>
                </c:manualLayout>
              </c:layout>
              <c:tx>
                <c:rich>
                  <a:bodyPr/>
                  <a:lstStyle/>
                  <a:p>
                    <a:r>
                      <a:rPr lang="lv-LV"/>
                      <a:t>Azartspēļu nodoklis
100000 </a:t>
                    </a:r>
                  </a:p>
                </c:rich>
              </c:tx>
              <c:showLegendKey val="0"/>
              <c:showVal val="1"/>
              <c:showCatName val="1"/>
              <c:showSerName val="0"/>
              <c:showPercent val="1"/>
              <c:showBubbleSize val="0"/>
              <c:extLst>
                <c:ext xmlns:c15="http://schemas.microsoft.com/office/drawing/2012/chart" uri="{CE6537A1-D6FC-4f65-9D91-7224C49458BB}"/>
              </c:extLst>
            </c:dLbl>
            <c:dLbl>
              <c:idx val="3"/>
              <c:layout>
                <c:manualLayout>
                  <c:x val="9.6473387820193199E-2"/>
                  <c:y val="-0.31044289044289247"/>
                </c:manualLayout>
              </c:layout>
              <c:showLegendKey val="0"/>
              <c:showVal val="1"/>
              <c:showCatName val="1"/>
              <c:showSerName val="0"/>
              <c:showPercent val="1"/>
              <c:showBubbleSize val="0"/>
              <c:extLst>
                <c:ext xmlns:c15="http://schemas.microsoft.com/office/drawing/2012/chart" uri="{CE6537A1-D6FC-4f65-9D91-7224C49458BB}"/>
              </c:extLst>
            </c:dLbl>
            <c:dLbl>
              <c:idx val="4"/>
              <c:layout>
                <c:manualLayout>
                  <c:x val="-1.9022558888999636E-2"/>
                  <c:y val="-0.14261072261072269"/>
                </c:manualLayout>
              </c:layout>
              <c:showLegendKey val="0"/>
              <c:showVal val="1"/>
              <c:showCatName val="1"/>
              <c:showSerName val="0"/>
              <c:showPercent val="1"/>
              <c:showBubbleSize val="0"/>
              <c:extLst>
                <c:ext xmlns:c15="http://schemas.microsoft.com/office/drawing/2012/chart" uri="{CE6537A1-D6FC-4f65-9D91-7224C49458BB}"/>
              </c:extLst>
            </c:dLbl>
            <c:dLbl>
              <c:idx val="6"/>
              <c:layout>
                <c:manualLayout>
                  <c:x val="-1.3361241237250495E-2"/>
                  <c:y val="0"/>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latin typeface="+mj-lt"/>
                  </a:defRPr>
                </a:pPr>
                <a:endParaRPr lang="lv-LV"/>
              </a:p>
            </c:txPr>
            <c:showLegendKey val="0"/>
            <c:showVal val="1"/>
            <c:showCatName val="1"/>
            <c:showSerName val="0"/>
            <c:showPercent val="1"/>
            <c:showBubbleSize val="0"/>
            <c:showLeaderLines val="0"/>
            <c:extLst>
              <c:ext xmlns:c15="http://schemas.microsoft.com/office/drawing/2012/chart" uri="{CE6537A1-D6FC-4f65-9D91-7224C49458BB}"/>
            </c:extLst>
          </c:dLbls>
          <c:cat>
            <c:strRef>
              <c:f>Sheet1!$A$2:$A$8</c:f>
              <c:strCache>
                <c:ptCount val="7"/>
                <c:pt idx="0">
                  <c:v>Iedzīvotāju ienākuma nodoklis</c:v>
                </c:pt>
                <c:pt idx="1">
                  <c:v>Īpašuma nodokļi</c:v>
                </c:pt>
                <c:pt idx="2">
                  <c:v>Azartspēļu nodoklis</c:v>
                </c:pt>
                <c:pt idx="3">
                  <c:v>Nenodokļu ienākumi</c:v>
                </c:pt>
                <c:pt idx="4">
                  <c:v>Maksas pakalpojumi</c:v>
                </c:pt>
                <c:pt idx="5">
                  <c:v>Valsts budžeta transferti</c:v>
                </c:pt>
                <c:pt idx="6">
                  <c:v>Pašvaldību budžetu transferti</c:v>
                </c:pt>
              </c:strCache>
            </c:strRef>
          </c:cat>
          <c:val>
            <c:numRef>
              <c:f>Sheet1!$B$2:$B$8</c:f>
              <c:numCache>
                <c:formatCode>General</c:formatCode>
                <c:ptCount val="7"/>
                <c:pt idx="0">
                  <c:v>14908696</c:v>
                </c:pt>
                <c:pt idx="1">
                  <c:v>1775365</c:v>
                </c:pt>
                <c:pt idx="2">
                  <c:v>100000</c:v>
                </c:pt>
                <c:pt idx="3">
                  <c:v>437472</c:v>
                </c:pt>
                <c:pt idx="4">
                  <c:v>874959</c:v>
                </c:pt>
                <c:pt idx="5" formatCode="#,##0">
                  <c:v>11658224</c:v>
                </c:pt>
                <c:pt idx="6">
                  <c:v>421720</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1.7626383658564543E-3"/>
          <c:w val="1"/>
          <c:h val="0.95475908696324485"/>
        </c:manualLayout>
      </c:layout>
      <c:pie3DChart>
        <c:varyColors val="1"/>
        <c:ser>
          <c:idx val="0"/>
          <c:order val="0"/>
          <c:tx>
            <c:strRef>
              <c:f>Sheet1!$B$1</c:f>
              <c:strCache>
                <c:ptCount val="1"/>
                <c:pt idx="0">
                  <c:v>Sales</c:v>
                </c:pt>
              </c:strCache>
            </c:strRef>
          </c:tx>
          <c:explosion val="25"/>
          <c:dPt>
            <c:idx val="9"/>
            <c:bubble3D val="0"/>
            <c:explosion val="7"/>
          </c:dPt>
          <c:dLbls>
            <c:dLbl>
              <c:idx val="0"/>
              <c:layout>
                <c:manualLayout>
                  <c:x val="-0.12584391951006124"/>
                  <c:y val="7.2463768115942344E-4"/>
                </c:manualLayout>
              </c:layout>
              <c:showLegendKey val="0"/>
              <c:showVal val="1"/>
              <c:showCatName val="1"/>
              <c:showSerName val="0"/>
              <c:showPercent val="1"/>
              <c:showBubbleSize val="0"/>
              <c:extLst>
                <c:ext xmlns:c15="http://schemas.microsoft.com/office/drawing/2012/chart" uri="{CE6537A1-D6FC-4f65-9D91-7224C49458BB}"/>
              </c:extLst>
            </c:dLbl>
            <c:dLbl>
              <c:idx val="1"/>
              <c:layout>
                <c:manualLayout>
                  <c:x val="-0.11442747156605426"/>
                  <c:y val="0.13623188405797157"/>
                </c:manualLayout>
              </c:layout>
              <c:showLegendKey val="0"/>
              <c:showVal val="1"/>
              <c:showCatName val="1"/>
              <c:showSerName val="0"/>
              <c:showPercent val="1"/>
              <c:showBubbleSize val="0"/>
              <c:extLst>
                <c:ext xmlns:c15="http://schemas.microsoft.com/office/drawing/2012/chart" uri="{CE6537A1-D6FC-4f65-9D91-7224C49458BB}"/>
              </c:extLst>
            </c:dLbl>
            <c:dLbl>
              <c:idx val="3"/>
              <c:layout>
                <c:manualLayout>
                  <c:x val="9.6754461315860074E-2"/>
                  <c:y val="-6.0202506602461792E-2"/>
                </c:manualLayout>
              </c:layout>
              <c:showLegendKey val="0"/>
              <c:showVal val="1"/>
              <c:showCatName val="1"/>
              <c:showSerName val="0"/>
              <c:showPercent val="1"/>
              <c:showBubbleSize val="0"/>
              <c:extLst>
                <c:ext xmlns:c15="http://schemas.microsoft.com/office/drawing/2012/chart" uri="{CE6537A1-D6FC-4f65-9D91-7224C49458BB}"/>
              </c:extLst>
            </c:dLbl>
            <c:dLbl>
              <c:idx val="4"/>
              <c:layout>
                <c:manualLayout>
                  <c:x val="7.5503190923477084E-2"/>
                  <c:y val="4.0203253170581495E-2"/>
                </c:manualLayout>
              </c:layout>
              <c:showLegendKey val="0"/>
              <c:showVal val="1"/>
              <c:showCatName val="1"/>
              <c:showSerName val="0"/>
              <c:showPercent val="1"/>
              <c:showBubbleSize val="0"/>
              <c:extLst>
                <c:ext xmlns:c15="http://schemas.microsoft.com/office/drawing/2012/chart" uri="{CE6537A1-D6FC-4f65-9D91-7224C49458BB}"/>
              </c:extLst>
            </c:dLbl>
            <c:dLbl>
              <c:idx val="5"/>
              <c:layout>
                <c:manualLayout>
                  <c:x val="7.4005494405385924E-2"/>
                  <c:y val="0.10684117696464072"/>
                </c:manualLayout>
              </c:layout>
              <c:showLegendKey val="0"/>
              <c:showVal val="1"/>
              <c:showCatName val="1"/>
              <c:showSerName val="0"/>
              <c:showPercent val="1"/>
              <c:showBubbleSize val="0"/>
              <c:extLst>
                <c:ext xmlns:c15="http://schemas.microsoft.com/office/drawing/2012/chart" uri="{CE6537A1-D6FC-4f65-9D91-7224C49458BB}"/>
              </c:extLst>
            </c:dLbl>
            <c:dLbl>
              <c:idx val="6"/>
              <c:layout>
                <c:manualLayout>
                  <c:x val="-0.18222222222222262"/>
                  <c:y val="0.28732808398950377"/>
                </c:manualLayout>
              </c:layout>
              <c:showLegendKey val="0"/>
              <c:showVal val="1"/>
              <c:showCatName val="1"/>
              <c:showSerName val="0"/>
              <c:showPercent val="1"/>
              <c:showBubbleSize val="0"/>
              <c:extLst>
                <c:ext xmlns:c15="http://schemas.microsoft.com/office/drawing/2012/chart" uri="{CE6537A1-D6FC-4f65-9D91-7224C49458BB}"/>
              </c:extLst>
            </c:dLbl>
            <c:dLbl>
              <c:idx val="7"/>
              <c:layout>
                <c:manualLayout>
                  <c:x val="3.7475186520487492E-3"/>
                  <c:y val="0.16033483580167421"/>
                </c:manualLayout>
              </c:layout>
              <c:tx>
                <c:rich>
                  <a:bodyPr/>
                  <a:lstStyle/>
                  <a:p>
                    <a:r>
                      <a:rPr lang="en-US"/>
                      <a:t>Veselība
83 180</a:t>
                    </a:r>
                  </a:p>
                </c:rich>
              </c:tx>
              <c:showLegendKey val="0"/>
              <c:showVal val="1"/>
              <c:showCatName val="1"/>
              <c:showSerName val="0"/>
              <c:showPercent val="1"/>
              <c:showBubbleSize val="0"/>
              <c:extLst>
                <c:ext xmlns:c15="http://schemas.microsoft.com/office/drawing/2012/chart" uri="{CE6537A1-D6FC-4f65-9D91-7224C49458BB}"/>
              </c:extLst>
            </c:dLbl>
            <c:dLbl>
              <c:idx val="8"/>
              <c:layout>
                <c:manualLayout>
                  <c:x val="-0.15550393700787396"/>
                  <c:y val="-0.2024069382631519"/>
                </c:manualLayout>
              </c:layout>
              <c:tx>
                <c:rich>
                  <a:bodyPr/>
                  <a:lstStyle/>
                  <a:p>
                    <a:r>
                      <a:rPr lang="en-US" sz="900" baseline="0" dirty="0" smtClean="0"/>
                      <a:t>NVO, kultūra un sports</a:t>
                    </a:r>
                    <a:r>
                      <a:rPr lang="en-US" sz="900" dirty="0"/>
                      <a:t>
3 769 471
13%</a:t>
                    </a:r>
                  </a:p>
                </c:rich>
              </c:tx>
              <c:showLegendKey val="0"/>
              <c:showVal val="1"/>
              <c:showCatName val="1"/>
              <c:showSerName val="0"/>
              <c:showPercent val="1"/>
              <c:showBubbleSize val="0"/>
              <c:extLst>
                <c:ext xmlns:c15="http://schemas.microsoft.com/office/drawing/2012/chart" uri="{CE6537A1-D6FC-4f65-9D91-7224C49458BB}"/>
              </c:extLst>
            </c:dLbl>
            <c:dLbl>
              <c:idx val="10"/>
              <c:layout>
                <c:manualLayout>
                  <c:x val="-5.4974278215223112E-2"/>
                  <c:y val="6.0559853931302067E-2"/>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900" b="1" i="0" baseline="0">
                    <a:latin typeface="Cambria" pitchFamily="18" charset="0"/>
                  </a:defRPr>
                </a:pPr>
                <a:endParaRPr lang="lv-LV"/>
              </a:p>
            </c:txPr>
            <c:showLegendKey val="0"/>
            <c:showVal val="1"/>
            <c:showCatName val="1"/>
            <c:showSerName val="0"/>
            <c:showPercent val="1"/>
            <c:showBubbleSize val="0"/>
            <c:showLeaderLines val="1"/>
            <c:extLst>
              <c:ext xmlns:c15="http://schemas.microsoft.com/office/drawing/2012/chart" uri="{CE6537A1-D6FC-4f65-9D91-7224C49458BB}"/>
            </c:extLst>
          </c:dLbls>
          <c:cat>
            <c:strRef>
              <c:f>Sheet1!$A$2:$A$12</c:f>
              <c:strCache>
                <c:ptCount val="11"/>
                <c:pt idx="0">
                  <c:v>Pārvalde</c:v>
                </c:pt>
                <c:pt idx="1">
                  <c:v>Procentu maksājumi par aizņēmumiem</c:v>
                </c:pt>
                <c:pt idx="2">
                  <c:v>Rezerves fonds</c:v>
                </c:pt>
                <c:pt idx="3">
                  <c:v>Sabiedriskā kārtība un drošība</c:v>
                </c:pt>
                <c:pt idx="4">
                  <c:v>Ekonomiskā darbība</c:v>
                </c:pt>
                <c:pt idx="5">
                  <c:v>Vides aizsardzība</c:v>
                </c:pt>
                <c:pt idx="6">
                  <c:v>Teritoriju un mājokļu apsaimniekošana</c:v>
                </c:pt>
                <c:pt idx="7">
                  <c:v>Veselība</c:v>
                </c:pt>
                <c:pt idx="8">
                  <c:v>Atpūta un kultūra</c:v>
                </c:pt>
                <c:pt idx="9">
                  <c:v>Izglītība</c:v>
                </c:pt>
                <c:pt idx="10">
                  <c:v>Sociālā aizsardzība</c:v>
                </c:pt>
              </c:strCache>
            </c:strRef>
          </c:cat>
          <c:val>
            <c:numRef>
              <c:f>Sheet1!$B$2:$B$12</c:f>
              <c:numCache>
                <c:formatCode>#,##0</c:formatCode>
                <c:ptCount val="11"/>
                <c:pt idx="0">
                  <c:v>2339687</c:v>
                </c:pt>
                <c:pt idx="1">
                  <c:v>104032</c:v>
                </c:pt>
                <c:pt idx="2">
                  <c:v>166000</c:v>
                </c:pt>
                <c:pt idx="3">
                  <c:v>447505</c:v>
                </c:pt>
                <c:pt idx="4">
                  <c:v>1268690</c:v>
                </c:pt>
                <c:pt idx="5">
                  <c:v>391880</c:v>
                </c:pt>
                <c:pt idx="6">
                  <c:v>3099138</c:v>
                </c:pt>
                <c:pt idx="7">
                  <c:v>83180</c:v>
                </c:pt>
                <c:pt idx="8">
                  <c:v>3171701</c:v>
                </c:pt>
                <c:pt idx="9">
                  <c:v>15576850</c:v>
                </c:pt>
                <c:pt idx="10">
                  <c:v>2737176</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txPr>
    <a:bodyPr/>
    <a:lstStyle/>
    <a:p>
      <a:pPr>
        <a:defRPr sz="1800"/>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465806357538641E-3"/>
          <c:y val="7.553074117947646E-2"/>
          <c:w val="0.91906435871832437"/>
          <c:h val="0.89678522350196599"/>
        </c:manualLayout>
      </c:layout>
      <c:pie3DChart>
        <c:varyColors val="1"/>
        <c:ser>
          <c:idx val="0"/>
          <c:order val="0"/>
          <c:tx>
            <c:strRef>
              <c:f>Sheet1!$B$1</c:f>
              <c:strCache>
                <c:ptCount val="1"/>
                <c:pt idx="0">
                  <c:v>Sales</c:v>
                </c:pt>
              </c:strCache>
            </c:strRef>
          </c:tx>
          <c:explosion val="25"/>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Lbls>
            <c:dLbl>
              <c:idx val="0"/>
              <c:tx>
                <c:rich>
                  <a:bodyPr/>
                  <a:lstStyle/>
                  <a:p>
                    <a:r>
                      <a:rPr lang="en-US" sz="1100" b="1">
                        <a:latin typeface="Times New Roman" panose="02020603050405020304" pitchFamily="18" charset="0"/>
                        <a:cs typeface="Times New Roman" panose="02020603050405020304" pitchFamily="18" charset="0"/>
                      </a:rPr>
                      <a:t>Irlava-Lestene</a:t>
                    </a:r>
                  </a:p>
                  <a:p>
                    <a:r>
                      <a:rPr lang="en-US" sz="1100" b="1">
                        <a:latin typeface="Times New Roman" panose="02020603050405020304" pitchFamily="18" charset="0"/>
                        <a:cs typeface="Times New Roman" panose="02020603050405020304" pitchFamily="18" charset="0"/>
                      </a:rPr>
                      <a:t>74 153; 9%</a:t>
                    </a:r>
                  </a:p>
                </c:rich>
              </c:tx>
              <c:dLblPos val="outEnd"/>
              <c:showLegendKey val="0"/>
              <c:showVal val="1"/>
              <c:showCatName val="1"/>
              <c:showSerName val="0"/>
              <c:showPercent val="1"/>
              <c:showBubbleSize val="0"/>
              <c:extLst>
                <c:ext xmlns:c15="http://schemas.microsoft.com/office/drawing/2012/chart" uri="{CE6537A1-D6FC-4f65-9D91-7224C49458BB}"/>
              </c:extLst>
            </c:dLbl>
            <c:dLbl>
              <c:idx val="1"/>
              <c:tx>
                <c:rich>
                  <a:bodyPr/>
                  <a:lstStyle/>
                  <a:p>
                    <a:r>
                      <a:rPr lang="en-US" sz="1100" b="1">
                        <a:latin typeface="Times New Roman" panose="02020603050405020304" pitchFamily="18" charset="0"/>
                        <a:cs typeface="Times New Roman" panose="02020603050405020304" pitchFamily="18" charset="0"/>
                      </a:rPr>
                      <a:t>Pūre-Jaunsāti</a:t>
                    </a:r>
                  </a:p>
                  <a:p>
                    <a:r>
                      <a:rPr lang="en-US" sz="1100" b="1">
                        <a:latin typeface="Times New Roman" panose="02020603050405020304" pitchFamily="18" charset="0"/>
                        <a:cs typeface="Times New Roman" panose="02020603050405020304" pitchFamily="18" charset="0"/>
                      </a:rPr>
                      <a:t>96 038; 12%</a:t>
                    </a:r>
                  </a:p>
                </c:rich>
              </c:tx>
              <c:dLblPos val="outEnd"/>
              <c:showLegendKey val="0"/>
              <c:showVal val="1"/>
              <c:showCatName val="1"/>
              <c:showSerName val="0"/>
              <c:showPercent val="1"/>
              <c:showBubbleSize val="0"/>
              <c:extLst>
                <c:ext xmlns:c15="http://schemas.microsoft.com/office/drawing/2012/chart" uri="{CE6537A1-D6FC-4f65-9D91-7224C49458BB}"/>
              </c:extLst>
            </c:dLbl>
            <c:dLbl>
              <c:idx val="2"/>
              <c:layout>
                <c:manualLayout>
                  <c:x val="0"/>
                  <c:y val="-0.1364674991976276"/>
                </c:manualLayout>
              </c:layout>
              <c:tx>
                <c:rich>
                  <a:bodyPr/>
                  <a:lstStyle/>
                  <a:p>
                    <a:r>
                      <a:rPr lang="en-US" sz="1100" b="1">
                        <a:latin typeface="Times New Roman" panose="02020603050405020304" pitchFamily="18" charset="0"/>
                        <a:cs typeface="Times New Roman" panose="02020603050405020304" pitchFamily="18" charset="0"/>
                      </a:rPr>
                      <a:t>Sēme-Zentene</a:t>
                    </a:r>
                  </a:p>
                  <a:p>
                    <a:r>
                      <a:rPr lang="en-US" sz="1100" b="1">
                        <a:latin typeface="Times New Roman" panose="02020603050405020304" pitchFamily="18" charset="0"/>
                        <a:cs typeface="Times New Roman" panose="02020603050405020304" pitchFamily="18" charset="0"/>
                      </a:rPr>
                      <a:t>75 107;</a:t>
                    </a:r>
                    <a:r>
                      <a:rPr lang="en-US" sz="1100" b="1" baseline="0">
                        <a:latin typeface="Times New Roman" panose="02020603050405020304" pitchFamily="18" charset="0"/>
                        <a:cs typeface="Times New Roman" panose="02020603050405020304" pitchFamily="18" charset="0"/>
                      </a:rPr>
                      <a:t> 9%</a:t>
                    </a:r>
                    <a:endParaRPr lang="en-US" sz="1100" b="1">
                      <a:latin typeface="Times New Roman" panose="02020603050405020304" pitchFamily="18" charset="0"/>
                      <a:cs typeface="Times New Roman" panose="02020603050405020304" pitchFamily="18" charset="0"/>
                    </a:endParaRPr>
                  </a:p>
                </c:rich>
              </c:tx>
              <c:dLblPos val="bestFit"/>
              <c:showLegendKey val="0"/>
              <c:showVal val="1"/>
              <c:showCatName val="1"/>
              <c:showSerName val="0"/>
              <c:showPercent val="1"/>
              <c:showBubbleSize val="0"/>
              <c:extLst>
                <c:ext xmlns:c15="http://schemas.microsoft.com/office/drawing/2012/chart" uri="{CE6537A1-D6FC-4f65-9D91-7224C49458BB}"/>
              </c:extLst>
            </c:dLbl>
            <c:dLbl>
              <c:idx val="3"/>
              <c:layout>
                <c:manualLayout>
                  <c:x val="0"/>
                  <c:y val="2.9509877531103731E-2"/>
                </c:manualLayout>
              </c:layout>
              <c:dLblPos val="bestFit"/>
              <c:showLegendKey val="0"/>
              <c:showVal val="1"/>
              <c:showCatName val="1"/>
              <c:showSerName val="0"/>
              <c:showPercent val="1"/>
              <c:showBubbleSize val="0"/>
              <c:extLst>
                <c:ext xmlns:c15="http://schemas.microsoft.com/office/drawing/2012/chart" uri="{CE6537A1-D6FC-4f65-9D91-7224C49458BB}"/>
              </c:extLst>
            </c:dLbl>
            <c:dLbl>
              <c:idx val="5"/>
              <c:layout>
                <c:manualLayout>
                  <c:x val="2.0833333333333332E-2"/>
                  <c:y val="-0.16592920353982302"/>
                </c:manualLayout>
              </c:layout>
              <c:dLblPos val="bestFit"/>
              <c:showLegendKey val="0"/>
              <c:showVal val="1"/>
              <c:showCatName val="1"/>
              <c:showSerName val="0"/>
              <c:showPercent val="1"/>
              <c:showBubbleSize val="0"/>
              <c:extLst>
                <c:ext xmlns:c15="http://schemas.microsoft.com/office/drawing/2012/chart" uri="{CE6537A1-D6FC-4f65-9D91-7224C49458BB}"/>
              </c:extLst>
            </c:dLbl>
            <c:dLbl>
              <c:idx val="6"/>
              <c:tx>
                <c:rich>
                  <a:bodyPr/>
                  <a:lstStyle/>
                  <a:p>
                    <a:r>
                      <a:rPr lang="en-US" sz="1100" b="1">
                        <a:latin typeface="Times New Roman" panose="02020603050405020304" pitchFamily="18" charset="0"/>
                        <a:cs typeface="Times New Roman" panose="02020603050405020304" pitchFamily="18" charset="0"/>
                      </a:rPr>
                      <a:t>Rezerves fonds</a:t>
                    </a:r>
                  </a:p>
                  <a:p>
                    <a:r>
                      <a:rPr lang="en-US" sz="1100" b="1">
                        <a:latin typeface="Times New Roman" panose="02020603050405020304" pitchFamily="18" charset="0"/>
                        <a:cs typeface="Times New Roman" panose="02020603050405020304" pitchFamily="18" charset="0"/>
                      </a:rPr>
                      <a:t>13 504; 2%</a:t>
                    </a:r>
                  </a:p>
                </c:rich>
              </c:tx>
              <c:dLblPos val="outEnd"/>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Irlava-Lestene</c:v>
                </c:pt>
                <c:pt idx="1">
                  <c:v>Pūre-Jaunsāti</c:v>
                </c:pt>
                <c:pt idx="2">
                  <c:v>Sēme-Zentene</c:v>
                </c:pt>
                <c:pt idx="3">
                  <c:v>Slampe-Džūkste</c:v>
                </c:pt>
                <c:pt idx="4">
                  <c:v>Tume-Degole</c:v>
                </c:pt>
                <c:pt idx="5">
                  <c:v>Tukums</c:v>
                </c:pt>
                <c:pt idx="6">
                  <c:v>Rezerves fonds</c:v>
                </c:pt>
              </c:strCache>
            </c:strRef>
          </c:cat>
          <c:val>
            <c:numRef>
              <c:f>Sheet1!$B$2:$B$8</c:f>
              <c:numCache>
                <c:formatCode>#,##0</c:formatCode>
                <c:ptCount val="7"/>
                <c:pt idx="0">
                  <c:v>74153</c:v>
                </c:pt>
                <c:pt idx="1">
                  <c:v>96038</c:v>
                </c:pt>
                <c:pt idx="2">
                  <c:v>75107</c:v>
                </c:pt>
                <c:pt idx="3">
                  <c:v>110611</c:v>
                </c:pt>
                <c:pt idx="4" formatCode="General">
                  <c:v>80285</c:v>
                </c:pt>
                <c:pt idx="5">
                  <c:v>360724</c:v>
                </c:pt>
                <c:pt idx="6">
                  <c:v>13504</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9578</Words>
  <Characters>5460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2016-02-10T14:07:00Z</dcterms:created>
  <dcterms:modified xsi:type="dcterms:W3CDTF">2016-02-10T14:08:00Z</dcterms:modified>
</cp:coreProperties>
</file>